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61" w:rsidRPr="00400DD9" w:rsidRDefault="00400DD9" w:rsidP="00A315F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u w:val="single"/>
        </w:rPr>
      </w:pPr>
      <w:r w:rsidRPr="00400DD9">
        <w:rPr>
          <w:rFonts w:asciiTheme="majorBidi" w:hAnsiTheme="majorBidi" w:cstheme="majorBidi"/>
          <w:sz w:val="20"/>
          <w:szCs w:val="20"/>
          <w:u w:val="single"/>
        </w:rPr>
        <w:fldChar w:fldCharType="begin"/>
      </w:r>
      <w:r w:rsidRPr="00400DD9">
        <w:rPr>
          <w:rFonts w:asciiTheme="majorBidi" w:hAnsiTheme="majorBidi" w:cstheme="majorBidi"/>
          <w:sz w:val="20"/>
          <w:szCs w:val="20"/>
          <w:u w:val="single"/>
        </w:rPr>
        <w:instrText xml:space="preserve"> HYPERLINK "http://onlinelibrary.wiley.com/doi/10.1111/aor.12136/abstract" </w:instrText>
      </w:r>
      <w:r w:rsidRPr="00400DD9">
        <w:rPr>
          <w:rFonts w:asciiTheme="majorBidi" w:hAnsiTheme="majorBidi" w:cstheme="majorBidi"/>
          <w:sz w:val="20"/>
          <w:szCs w:val="20"/>
          <w:u w:val="single"/>
        </w:rPr>
      </w:r>
      <w:r w:rsidRPr="00400DD9">
        <w:rPr>
          <w:rFonts w:asciiTheme="majorBidi" w:hAnsiTheme="majorBidi" w:cstheme="majorBidi"/>
          <w:sz w:val="20"/>
          <w:szCs w:val="20"/>
          <w:u w:val="single"/>
        </w:rPr>
        <w:fldChar w:fldCharType="separate"/>
      </w:r>
      <w:r w:rsidR="003D5261" w:rsidRPr="00400DD9">
        <w:rPr>
          <w:rStyle w:val="Hyperlink"/>
          <w:rFonts w:asciiTheme="majorBidi" w:hAnsiTheme="majorBidi" w:cstheme="majorBidi"/>
          <w:sz w:val="20"/>
          <w:szCs w:val="20"/>
        </w:rPr>
        <w:t>The First Iranian Annual Congress on Progress in Tissue Engineering and Regenerative Medicine Abstracts</w:t>
      </w:r>
      <w:r w:rsidRPr="00400DD9">
        <w:rPr>
          <w:rFonts w:asciiTheme="majorBidi" w:hAnsiTheme="majorBidi" w:cstheme="majorBidi"/>
          <w:sz w:val="20"/>
          <w:szCs w:val="20"/>
          <w:u w:val="single"/>
        </w:rPr>
        <w:fldChar w:fldCharType="end"/>
      </w:r>
    </w:p>
    <w:p w:rsidR="003D5261" w:rsidRPr="003D5261" w:rsidRDefault="003D5261" w:rsidP="00A315F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2F7172" w:rsidRPr="003D5261" w:rsidRDefault="002F7172" w:rsidP="00A315F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3D5261">
        <w:rPr>
          <w:rFonts w:asciiTheme="majorBidi" w:hAnsiTheme="majorBidi" w:cstheme="majorBidi"/>
          <w:b/>
          <w:bCs/>
          <w:sz w:val="20"/>
          <w:szCs w:val="20"/>
        </w:rPr>
        <w:t xml:space="preserve">A </w:t>
      </w:r>
      <w:proofErr w:type="spellStart"/>
      <w:r w:rsidRPr="003D5261">
        <w:rPr>
          <w:rFonts w:asciiTheme="majorBidi" w:hAnsiTheme="majorBidi" w:cstheme="majorBidi"/>
          <w:b/>
          <w:bCs/>
          <w:sz w:val="20"/>
          <w:szCs w:val="20"/>
        </w:rPr>
        <w:t>Bibliometric</w:t>
      </w:r>
      <w:proofErr w:type="spellEnd"/>
      <w:r w:rsidRPr="003D5261">
        <w:rPr>
          <w:rFonts w:asciiTheme="majorBidi" w:hAnsiTheme="majorBidi" w:cstheme="majorBidi"/>
          <w:b/>
          <w:bCs/>
          <w:sz w:val="20"/>
          <w:szCs w:val="20"/>
        </w:rPr>
        <w:t xml:space="preserve"> Trend Analysis of Stem Cells and Regenerative Medicine</w:t>
      </w:r>
      <w:r w:rsidR="003D5261" w:rsidRPr="003D526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b/>
          <w:bCs/>
          <w:sz w:val="20"/>
          <w:szCs w:val="20"/>
        </w:rPr>
        <w:t>Research Output in Iran: Comparison with the Global Research Output</w:t>
      </w:r>
    </w:p>
    <w:p w:rsidR="003D5261" w:rsidRPr="003D5261" w:rsidRDefault="003D5261" w:rsidP="00A315F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2F7172" w:rsidRPr="003D5261" w:rsidRDefault="002F7172" w:rsidP="00A315F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D5261">
        <w:rPr>
          <w:rFonts w:asciiTheme="majorBidi" w:hAnsiTheme="majorBidi" w:cstheme="majorBidi"/>
          <w:sz w:val="20"/>
          <w:szCs w:val="20"/>
        </w:rPr>
        <w:t>Ali Samadikuchaksaraei</w:t>
      </w:r>
      <w:r w:rsidRPr="00400DD9">
        <w:rPr>
          <w:rFonts w:asciiTheme="majorBidi" w:hAnsiTheme="majorBidi" w:cstheme="majorBidi"/>
          <w:sz w:val="20"/>
          <w:szCs w:val="20"/>
          <w:vertAlign w:val="superscript"/>
        </w:rPr>
        <w:t>1</w:t>
      </w:r>
      <w:proofErr w:type="gramStart"/>
      <w:r w:rsidRPr="00400DD9">
        <w:rPr>
          <w:rFonts w:asciiTheme="majorBidi" w:hAnsiTheme="majorBidi" w:cstheme="majorBidi"/>
          <w:sz w:val="20"/>
          <w:szCs w:val="20"/>
          <w:vertAlign w:val="superscript"/>
        </w:rPr>
        <w:t>,2</w:t>
      </w:r>
      <w:proofErr w:type="gramEnd"/>
      <w:r w:rsidRPr="00400DD9">
        <w:rPr>
          <w:rFonts w:asciiTheme="majorBidi" w:hAnsiTheme="majorBidi" w:cstheme="majorBidi"/>
          <w:sz w:val="20"/>
          <w:szCs w:val="20"/>
          <w:vertAlign w:val="superscript"/>
        </w:rPr>
        <w:t>*</w:t>
      </w:r>
      <w:r w:rsidRPr="003D526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3D5261">
        <w:rPr>
          <w:rFonts w:asciiTheme="majorBidi" w:hAnsiTheme="majorBidi" w:cstheme="majorBidi"/>
          <w:sz w:val="20"/>
          <w:szCs w:val="20"/>
        </w:rPr>
        <w:t>Nushin</w:t>
      </w:r>
      <w:proofErr w:type="spellEnd"/>
      <w:r w:rsidRPr="003D5261">
        <w:rPr>
          <w:rFonts w:asciiTheme="majorBidi" w:hAnsiTheme="majorBidi" w:cstheme="majorBidi"/>
          <w:sz w:val="20"/>
          <w:szCs w:val="20"/>
        </w:rPr>
        <w:t xml:space="preserve"> K Osguei</w:t>
      </w:r>
      <w:r w:rsidRPr="00400DD9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3D5261">
        <w:rPr>
          <w:rFonts w:asciiTheme="majorBidi" w:hAnsiTheme="majorBidi" w:cstheme="majorBidi"/>
          <w:sz w:val="20"/>
          <w:szCs w:val="20"/>
        </w:rPr>
        <w:t>, Hafez Mohammadhassanzadeh</w:t>
      </w:r>
      <w:r w:rsidRPr="00400DD9">
        <w:rPr>
          <w:rFonts w:asciiTheme="majorBidi" w:hAnsiTheme="majorBidi" w:cstheme="majorBidi"/>
          <w:sz w:val="20"/>
          <w:szCs w:val="20"/>
          <w:vertAlign w:val="superscript"/>
        </w:rPr>
        <w:t>4</w:t>
      </w:r>
      <w:r w:rsidRPr="003D5261">
        <w:rPr>
          <w:rFonts w:asciiTheme="majorBidi" w:hAnsiTheme="majorBidi" w:cstheme="majorBidi"/>
          <w:sz w:val="20"/>
          <w:szCs w:val="20"/>
        </w:rPr>
        <w:t>,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3D5261">
        <w:rPr>
          <w:rFonts w:asciiTheme="majorBidi" w:hAnsiTheme="majorBidi" w:cstheme="majorBidi"/>
          <w:sz w:val="20"/>
          <w:szCs w:val="20"/>
        </w:rPr>
        <w:t>Sahba</w:t>
      </w:r>
      <w:proofErr w:type="spellEnd"/>
      <w:r w:rsidRPr="003D5261">
        <w:rPr>
          <w:rFonts w:asciiTheme="majorBidi" w:hAnsiTheme="majorBidi" w:cstheme="majorBidi"/>
          <w:sz w:val="20"/>
          <w:szCs w:val="20"/>
        </w:rPr>
        <w:t xml:space="preserve"> Mobini</w:t>
      </w:r>
      <w:r w:rsidRPr="00400DD9">
        <w:rPr>
          <w:rFonts w:asciiTheme="majorBidi" w:hAnsiTheme="majorBidi" w:cstheme="majorBidi"/>
          <w:sz w:val="20"/>
          <w:szCs w:val="20"/>
          <w:vertAlign w:val="superscript"/>
        </w:rPr>
        <w:t>5</w:t>
      </w:r>
      <w:r w:rsidRPr="003D526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3D5261">
        <w:rPr>
          <w:rFonts w:asciiTheme="majorBidi" w:hAnsiTheme="majorBidi" w:cstheme="majorBidi"/>
          <w:sz w:val="20"/>
          <w:szCs w:val="20"/>
        </w:rPr>
        <w:t>Farhad</w:t>
      </w:r>
      <w:proofErr w:type="spellEnd"/>
      <w:r w:rsidRPr="003D5261">
        <w:rPr>
          <w:rFonts w:asciiTheme="majorBidi" w:hAnsiTheme="majorBidi" w:cstheme="majorBidi"/>
          <w:sz w:val="20"/>
          <w:szCs w:val="20"/>
        </w:rPr>
        <w:t xml:space="preserve"> Shokraneh</w:t>
      </w:r>
      <w:r w:rsidRPr="00400DD9">
        <w:rPr>
          <w:rFonts w:asciiTheme="majorBidi" w:hAnsiTheme="majorBidi" w:cstheme="majorBidi"/>
          <w:sz w:val="20"/>
          <w:szCs w:val="20"/>
          <w:vertAlign w:val="superscript"/>
        </w:rPr>
        <w:t>6</w:t>
      </w:r>
      <w:r w:rsidRPr="003D526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3D5261">
        <w:rPr>
          <w:rFonts w:asciiTheme="majorBidi" w:hAnsiTheme="majorBidi" w:cstheme="majorBidi"/>
          <w:sz w:val="20"/>
          <w:szCs w:val="20"/>
        </w:rPr>
        <w:t>Somaieh</w:t>
      </w:r>
      <w:proofErr w:type="spellEnd"/>
      <w:r w:rsidRPr="003D5261">
        <w:rPr>
          <w:rFonts w:asciiTheme="majorBidi" w:hAnsiTheme="majorBidi" w:cstheme="majorBidi"/>
          <w:sz w:val="20"/>
          <w:szCs w:val="20"/>
        </w:rPr>
        <w:t xml:space="preserve"> Kazemnejad</w:t>
      </w:r>
      <w:r w:rsidRPr="00400DD9">
        <w:rPr>
          <w:rFonts w:asciiTheme="majorBidi" w:hAnsiTheme="majorBidi" w:cstheme="majorBidi"/>
          <w:sz w:val="20"/>
          <w:szCs w:val="20"/>
          <w:vertAlign w:val="superscript"/>
        </w:rPr>
        <w:t>5</w:t>
      </w:r>
    </w:p>
    <w:p w:rsidR="00A315F6" w:rsidRDefault="00A315F6" w:rsidP="00A315F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2F7172" w:rsidRDefault="002F7172" w:rsidP="00A315F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315F6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3D5261">
        <w:rPr>
          <w:rFonts w:asciiTheme="majorBidi" w:hAnsiTheme="majorBidi" w:cstheme="majorBidi"/>
          <w:sz w:val="20"/>
          <w:szCs w:val="20"/>
        </w:rPr>
        <w:t>Department of Medical Biotechnology, Faculty of Allied Medicine, Iran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 xml:space="preserve">University of Medical Sciences, Tehran, Iran; </w:t>
      </w:r>
      <w:r w:rsidRPr="00A315F6">
        <w:rPr>
          <w:rFonts w:asciiTheme="majorBidi" w:hAnsiTheme="majorBidi" w:cstheme="majorBidi"/>
          <w:sz w:val="20"/>
          <w:szCs w:val="20"/>
          <w:vertAlign w:val="superscript"/>
        </w:rPr>
        <w:t>2</w:t>
      </w:r>
      <w:r w:rsidRPr="003D5261">
        <w:rPr>
          <w:rFonts w:asciiTheme="majorBidi" w:hAnsiTheme="majorBidi" w:cstheme="majorBidi"/>
          <w:sz w:val="20"/>
          <w:szCs w:val="20"/>
        </w:rPr>
        <w:t>Cellular and Molecular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Research Center, Iran University of Medical Sciences, Tehran, Iran;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A315F6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3D5261">
        <w:rPr>
          <w:rFonts w:asciiTheme="majorBidi" w:hAnsiTheme="majorBidi" w:cstheme="majorBidi"/>
          <w:sz w:val="20"/>
          <w:szCs w:val="20"/>
        </w:rPr>
        <w:t xml:space="preserve">Eposcience Millennium Institute, Tehran, Iran; </w:t>
      </w:r>
      <w:r w:rsidRPr="00A315F6">
        <w:rPr>
          <w:rFonts w:asciiTheme="majorBidi" w:hAnsiTheme="majorBidi" w:cstheme="majorBidi"/>
          <w:sz w:val="20"/>
          <w:szCs w:val="20"/>
          <w:vertAlign w:val="superscript"/>
        </w:rPr>
        <w:t>4</w:t>
      </w:r>
      <w:r w:rsidRPr="003D5261">
        <w:rPr>
          <w:rFonts w:asciiTheme="majorBidi" w:hAnsiTheme="majorBidi" w:cstheme="majorBidi"/>
          <w:sz w:val="20"/>
          <w:szCs w:val="20"/>
        </w:rPr>
        <w:t>Cardiovascular Research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 xml:space="preserve">Center, Tabriz University of Medical Sciences, Tabriz, Iran; </w:t>
      </w:r>
      <w:r w:rsidRPr="00A315F6">
        <w:rPr>
          <w:rFonts w:asciiTheme="majorBidi" w:hAnsiTheme="majorBidi" w:cstheme="majorBidi"/>
          <w:sz w:val="20"/>
          <w:szCs w:val="20"/>
          <w:vertAlign w:val="superscript"/>
        </w:rPr>
        <w:t>5</w:t>
      </w:r>
      <w:r w:rsidRPr="003D5261">
        <w:rPr>
          <w:rFonts w:asciiTheme="majorBidi" w:hAnsiTheme="majorBidi" w:cstheme="majorBidi"/>
          <w:sz w:val="20"/>
          <w:szCs w:val="20"/>
        </w:rPr>
        <w:t>Reproductive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Biotechnology Research Center,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Avicenna Research Institute, Academic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Center for Education, Culture and Research (ACECR), Tehran, Iran;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A315F6">
        <w:rPr>
          <w:rFonts w:asciiTheme="majorBidi" w:hAnsiTheme="majorBidi" w:cstheme="majorBidi"/>
          <w:sz w:val="20"/>
          <w:szCs w:val="20"/>
          <w:vertAlign w:val="superscript"/>
        </w:rPr>
        <w:t>6</w:t>
      </w:r>
      <w:r w:rsidRPr="003D5261">
        <w:rPr>
          <w:rFonts w:asciiTheme="majorBidi" w:hAnsiTheme="majorBidi" w:cstheme="majorBidi"/>
          <w:sz w:val="20"/>
          <w:szCs w:val="20"/>
        </w:rPr>
        <w:t>Scientometry Research Center, Kerman University of Medical Sciences,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Kerman, Iran;</w:t>
      </w:r>
    </w:p>
    <w:p w:rsidR="00A315F6" w:rsidRPr="003D5261" w:rsidRDefault="00A315F6" w:rsidP="00A315F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000000" w:rsidRPr="003D5261" w:rsidRDefault="002F7172" w:rsidP="00A315F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D5261">
        <w:rPr>
          <w:rFonts w:asciiTheme="majorBidi" w:hAnsiTheme="majorBidi" w:cstheme="majorBidi"/>
          <w:sz w:val="20"/>
          <w:szCs w:val="20"/>
        </w:rPr>
        <w:t xml:space="preserve">*Corresponding author: Ali </w:t>
      </w:r>
      <w:proofErr w:type="spellStart"/>
      <w:r w:rsidRPr="003D5261">
        <w:rPr>
          <w:rFonts w:asciiTheme="majorBidi" w:hAnsiTheme="majorBidi" w:cstheme="majorBidi"/>
          <w:sz w:val="20"/>
          <w:szCs w:val="20"/>
        </w:rPr>
        <w:t>Samadikuchaksaraei</w:t>
      </w:r>
      <w:proofErr w:type="spellEnd"/>
      <w:r w:rsidRPr="003D5261">
        <w:rPr>
          <w:rFonts w:asciiTheme="majorBidi" w:hAnsiTheme="majorBidi" w:cstheme="majorBidi"/>
          <w:sz w:val="20"/>
          <w:szCs w:val="20"/>
        </w:rPr>
        <w:t>, MD, PhD, DIC, FRSPH,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Department of Medical Biotechnology, Faculty of Allied Medicine, Iran University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 xml:space="preserve">of Medical Sciences, </w:t>
      </w:r>
      <w:proofErr w:type="spellStart"/>
      <w:r w:rsidRPr="003D5261">
        <w:rPr>
          <w:rFonts w:asciiTheme="majorBidi" w:hAnsiTheme="majorBidi" w:cstheme="majorBidi"/>
          <w:sz w:val="20"/>
          <w:szCs w:val="20"/>
        </w:rPr>
        <w:t>Hemmat</w:t>
      </w:r>
      <w:proofErr w:type="spellEnd"/>
      <w:r w:rsidRPr="003D5261">
        <w:rPr>
          <w:rFonts w:asciiTheme="majorBidi" w:hAnsiTheme="majorBidi" w:cstheme="majorBidi"/>
          <w:sz w:val="20"/>
          <w:szCs w:val="20"/>
        </w:rPr>
        <w:t xml:space="preserve"> Highway, Tehran, Iran. Tel: +98 21 88052984; Fax: +98 21 8805 4355; E-mail: samaikuchaksaraei@yahoo.com</w:t>
      </w:r>
    </w:p>
    <w:p w:rsidR="002F7172" w:rsidRDefault="002F7172" w:rsidP="00A315F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A315F6" w:rsidRPr="00A315F6" w:rsidRDefault="00A315F6" w:rsidP="00A315F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A315F6">
        <w:rPr>
          <w:rFonts w:asciiTheme="majorBidi" w:hAnsiTheme="majorBidi" w:cstheme="majorBidi"/>
          <w:b/>
          <w:bCs/>
          <w:sz w:val="20"/>
          <w:szCs w:val="20"/>
        </w:rPr>
        <w:t>Abstract</w:t>
      </w:r>
    </w:p>
    <w:p w:rsidR="002F7172" w:rsidRDefault="002F7172" w:rsidP="00A315F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D5261">
        <w:rPr>
          <w:rFonts w:asciiTheme="majorBidi" w:hAnsiTheme="majorBidi" w:cstheme="majorBidi"/>
          <w:sz w:val="20"/>
          <w:szCs w:val="20"/>
        </w:rPr>
        <w:t xml:space="preserve">This report is a </w:t>
      </w:r>
      <w:proofErr w:type="spellStart"/>
      <w:r w:rsidRPr="003D5261">
        <w:rPr>
          <w:rFonts w:asciiTheme="majorBidi" w:hAnsiTheme="majorBidi" w:cstheme="majorBidi"/>
          <w:sz w:val="20"/>
          <w:szCs w:val="20"/>
        </w:rPr>
        <w:t>bibliometric</w:t>
      </w:r>
      <w:proofErr w:type="spellEnd"/>
      <w:r w:rsidRPr="003D5261">
        <w:rPr>
          <w:rFonts w:asciiTheme="majorBidi" w:hAnsiTheme="majorBidi" w:cstheme="majorBidi"/>
          <w:sz w:val="20"/>
          <w:szCs w:val="20"/>
        </w:rPr>
        <w:t xml:space="preserve"> analysis of the growth rates of publications in the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fields of stem cells and tissue engineering and regenerative medicine in Iran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and compares these rates with the rates in other regions of the world. PubMed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 xml:space="preserve">database was used for extraction of relevant publications using </w:t>
      </w:r>
      <w:proofErr w:type="spellStart"/>
      <w:r w:rsidRPr="003D5261">
        <w:rPr>
          <w:rFonts w:asciiTheme="majorBidi" w:hAnsiTheme="majorBidi" w:cstheme="majorBidi"/>
          <w:sz w:val="20"/>
          <w:szCs w:val="20"/>
        </w:rPr>
        <w:t>MeSH</w:t>
      </w:r>
      <w:proofErr w:type="spellEnd"/>
      <w:r w:rsidRPr="003D5261">
        <w:rPr>
          <w:rFonts w:asciiTheme="majorBidi" w:hAnsiTheme="majorBidi" w:cstheme="majorBidi"/>
          <w:sz w:val="20"/>
          <w:szCs w:val="20"/>
        </w:rPr>
        <w:t xml:space="preserve"> terms.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The data were extracted from 2001–2011 and the address fields of the publications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were checked manually in order to allocate the publications to a relevant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geographical region. Linear regression was used for fitting a linear model to the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publications of a particular region and the slope of the model was used as an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indicator of publication growth rate. Statistical comparison of the slopes of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different regions showed that Iran enjoys a moderate growth rate in regards to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tissue engineering and regenerative medicine publications (including stem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cells-related papers) and a low growth rate in regards to general stem cells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papers. Iran is a regionally dominant country in the field of tissue engineering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but, not in the field of stem cells. Analysis of the annual growth rate showed a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steady pattern of growth of tissue engineering papers and a random pattern of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growth for general stem cells papers. This is an indication of instability in the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general stem cell research and stability in the field of tissue engineering. Due to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equal research funding opportunities, this observation is explained by the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natural selection of the latter field by Iranian biomedical scientists, which is</w:t>
      </w:r>
      <w:r w:rsidR="00400DD9"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suggested to be followed by policy makers.</w:t>
      </w:r>
    </w:p>
    <w:p w:rsidR="00A315F6" w:rsidRDefault="00A315F6" w:rsidP="00A315F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A315F6" w:rsidRDefault="00A315F6" w:rsidP="00A315F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00DD9">
        <w:rPr>
          <w:rFonts w:asciiTheme="majorBidi" w:hAnsiTheme="majorBidi" w:cstheme="majorBidi"/>
          <w:b/>
          <w:bCs/>
          <w:sz w:val="20"/>
          <w:szCs w:val="20"/>
        </w:rPr>
        <w:t>Citation</w:t>
      </w:r>
    </w:p>
    <w:p w:rsidR="00A315F6" w:rsidRPr="003D5261" w:rsidRDefault="00A315F6" w:rsidP="00A315F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3D5261">
        <w:rPr>
          <w:rFonts w:asciiTheme="majorBidi" w:hAnsiTheme="majorBidi" w:cstheme="majorBidi"/>
          <w:sz w:val="20"/>
          <w:szCs w:val="20"/>
        </w:rPr>
        <w:t>Samadikuchaksaraei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A</w:t>
      </w:r>
      <w:r w:rsidRPr="003D526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3D5261">
        <w:rPr>
          <w:rFonts w:asciiTheme="majorBidi" w:hAnsiTheme="majorBidi" w:cstheme="majorBidi"/>
          <w:sz w:val="20"/>
          <w:szCs w:val="20"/>
        </w:rPr>
        <w:t>Osguei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NK</w:t>
      </w:r>
      <w:r w:rsidRPr="003D526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3D5261">
        <w:rPr>
          <w:rFonts w:asciiTheme="majorBidi" w:hAnsiTheme="majorBidi" w:cstheme="majorBidi"/>
          <w:sz w:val="20"/>
          <w:szCs w:val="20"/>
        </w:rPr>
        <w:t>Mohammadhassanzade</w:t>
      </w:r>
      <w:r>
        <w:rPr>
          <w:rFonts w:asciiTheme="majorBidi" w:hAnsiTheme="majorBidi" w:cstheme="majorBidi"/>
          <w:sz w:val="20"/>
          <w:szCs w:val="20"/>
        </w:rPr>
        <w:t>h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H</w:t>
      </w:r>
      <w:r w:rsidRPr="003D5261">
        <w:rPr>
          <w:rFonts w:asciiTheme="majorBidi" w:hAnsiTheme="majorBidi" w:cstheme="majorBidi"/>
          <w:sz w:val="20"/>
          <w:szCs w:val="20"/>
        </w:rPr>
        <w:t>,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3D5261">
        <w:rPr>
          <w:rFonts w:asciiTheme="majorBidi" w:hAnsiTheme="majorBidi" w:cstheme="majorBidi"/>
          <w:sz w:val="20"/>
          <w:szCs w:val="20"/>
        </w:rPr>
        <w:t>Mobini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F0A56">
        <w:rPr>
          <w:rFonts w:asciiTheme="majorBidi" w:hAnsiTheme="majorBidi" w:cstheme="majorBidi"/>
          <w:sz w:val="20"/>
          <w:szCs w:val="20"/>
        </w:rPr>
        <w:t>S</w:t>
      </w:r>
      <w:r w:rsidRPr="003D526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3D5261">
        <w:rPr>
          <w:rFonts w:asciiTheme="majorBidi" w:hAnsiTheme="majorBidi" w:cstheme="majorBidi"/>
          <w:sz w:val="20"/>
          <w:szCs w:val="20"/>
        </w:rPr>
        <w:t>Shokraneh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F</w:t>
      </w:r>
      <w:r w:rsidRPr="003D526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3D5261">
        <w:rPr>
          <w:rFonts w:asciiTheme="majorBidi" w:hAnsiTheme="majorBidi" w:cstheme="majorBidi"/>
          <w:sz w:val="20"/>
          <w:szCs w:val="20"/>
        </w:rPr>
        <w:t>Kazemneja</w:t>
      </w:r>
      <w:r>
        <w:rPr>
          <w:rFonts w:asciiTheme="majorBidi" w:hAnsiTheme="majorBidi" w:cstheme="majorBidi"/>
          <w:sz w:val="20"/>
          <w:szCs w:val="20"/>
        </w:rPr>
        <w:t>d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S. </w:t>
      </w:r>
      <w:r w:rsidRPr="003D5261">
        <w:rPr>
          <w:rFonts w:asciiTheme="majorBidi" w:hAnsiTheme="majorBidi" w:cstheme="majorBidi"/>
          <w:sz w:val="20"/>
          <w:szCs w:val="20"/>
        </w:rPr>
        <w:t xml:space="preserve">A </w:t>
      </w:r>
      <w:proofErr w:type="spellStart"/>
      <w:r w:rsidRPr="003D5261">
        <w:rPr>
          <w:rFonts w:asciiTheme="majorBidi" w:hAnsiTheme="majorBidi" w:cstheme="majorBidi"/>
          <w:sz w:val="20"/>
          <w:szCs w:val="20"/>
        </w:rPr>
        <w:t>Bibliometric</w:t>
      </w:r>
      <w:proofErr w:type="spellEnd"/>
      <w:r w:rsidRPr="003D5261">
        <w:rPr>
          <w:rFonts w:asciiTheme="majorBidi" w:hAnsiTheme="majorBidi" w:cstheme="majorBidi"/>
          <w:sz w:val="20"/>
          <w:szCs w:val="20"/>
        </w:rPr>
        <w:t xml:space="preserve"> Trend Analysis of Stem Cells and Regenerative Medicine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3D5261">
        <w:rPr>
          <w:rFonts w:asciiTheme="majorBidi" w:hAnsiTheme="majorBidi" w:cstheme="majorBidi"/>
          <w:sz w:val="20"/>
          <w:szCs w:val="20"/>
        </w:rPr>
        <w:t>Research Output in Iran: Comparison with the Global Research Output</w:t>
      </w:r>
      <w:r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>
        <w:rPr>
          <w:rFonts w:asciiTheme="majorBidi" w:hAnsiTheme="majorBidi" w:cstheme="majorBidi"/>
          <w:sz w:val="20"/>
          <w:szCs w:val="20"/>
        </w:rPr>
        <w:t>Artif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Organs</w:t>
      </w:r>
      <w:r w:rsidRPr="003D5261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2013</w:t>
      </w:r>
      <w:proofErr w:type="gramStart"/>
      <w:r>
        <w:rPr>
          <w:rFonts w:asciiTheme="majorBidi" w:hAnsiTheme="majorBidi" w:cstheme="majorBidi"/>
          <w:sz w:val="20"/>
          <w:szCs w:val="20"/>
        </w:rPr>
        <w:t>;</w:t>
      </w:r>
      <w:r w:rsidRPr="003D5261">
        <w:rPr>
          <w:rFonts w:asciiTheme="majorBidi" w:hAnsiTheme="majorBidi" w:cstheme="majorBidi"/>
          <w:sz w:val="20"/>
          <w:szCs w:val="20"/>
        </w:rPr>
        <w:t>37</w:t>
      </w:r>
      <w:proofErr w:type="gramEnd"/>
      <w:r>
        <w:rPr>
          <w:rFonts w:asciiTheme="majorBidi" w:hAnsiTheme="majorBidi" w:cstheme="majorBidi"/>
          <w:sz w:val="20"/>
          <w:szCs w:val="20"/>
        </w:rPr>
        <w:t>(</w:t>
      </w:r>
      <w:r w:rsidRPr="003D5261">
        <w:rPr>
          <w:rFonts w:asciiTheme="majorBidi" w:hAnsiTheme="majorBidi" w:cstheme="majorBidi"/>
          <w:sz w:val="20"/>
          <w:szCs w:val="20"/>
        </w:rPr>
        <w:t>7</w:t>
      </w:r>
      <w:r>
        <w:rPr>
          <w:rFonts w:asciiTheme="majorBidi" w:hAnsiTheme="majorBidi" w:cstheme="majorBidi"/>
          <w:sz w:val="20"/>
          <w:szCs w:val="20"/>
        </w:rPr>
        <w:t xml:space="preserve">):A31. DOI: </w:t>
      </w:r>
      <w:hyperlink r:id="rId4" w:history="1">
        <w:r w:rsidRPr="003965F2">
          <w:rPr>
            <w:rStyle w:val="Hyperlink"/>
            <w:rFonts w:asciiTheme="majorBidi" w:hAnsiTheme="majorBidi" w:cstheme="majorBidi"/>
            <w:sz w:val="20"/>
            <w:szCs w:val="20"/>
          </w:rPr>
          <w:t>10.1111/aor.12136</w:t>
        </w:r>
      </w:hyperlink>
    </w:p>
    <w:sectPr w:rsidR="00A315F6" w:rsidRPr="003D5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2F7172"/>
    <w:rsid w:val="002F7172"/>
    <w:rsid w:val="003965F2"/>
    <w:rsid w:val="003D5261"/>
    <w:rsid w:val="00400DD9"/>
    <w:rsid w:val="00A315F6"/>
    <w:rsid w:val="00CF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1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111/aor.12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dcterms:created xsi:type="dcterms:W3CDTF">2013-07-27T11:19:00Z</dcterms:created>
  <dcterms:modified xsi:type="dcterms:W3CDTF">2013-07-27T11:30:00Z</dcterms:modified>
</cp:coreProperties>
</file>