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46" w:rsidRDefault="00C93A46" w:rsidP="00501D90">
      <w:pPr>
        <w:spacing w:after="0"/>
        <w:rPr>
          <w:rFonts w:cs="Times New Roman"/>
          <w:b/>
          <w:sz w:val="28"/>
          <w:szCs w:val="24"/>
        </w:rPr>
      </w:pPr>
      <w:r w:rsidRPr="00813857">
        <w:rPr>
          <w:rFonts w:cs="Times New Roman"/>
          <w:b/>
          <w:sz w:val="28"/>
          <w:szCs w:val="24"/>
        </w:rPr>
        <w:t>Bilgi ve Belge Yönetimi Eğitiminde Uygulamanın Önemi: Stajlar Üzerine Bir Araştırma</w:t>
      </w:r>
    </w:p>
    <w:p w:rsidR="00501D90" w:rsidRDefault="00501D90" w:rsidP="00501D90">
      <w:pPr>
        <w:spacing w:after="0"/>
        <w:rPr>
          <w:rFonts w:cs="Times New Roman"/>
          <w:b/>
          <w:sz w:val="28"/>
          <w:szCs w:val="24"/>
        </w:rPr>
      </w:pPr>
    </w:p>
    <w:p w:rsidR="00501D90" w:rsidRDefault="00501D90" w:rsidP="00501D90">
      <w:pPr>
        <w:spacing w:after="0"/>
        <w:rPr>
          <w:rFonts w:cs="Times New Roman"/>
          <w:b/>
          <w:sz w:val="28"/>
          <w:szCs w:val="24"/>
        </w:rPr>
      </w:pPr>
      <w:r>
        <w:rPr>
          <w:rFonts w:cs="Times New Roman"/>
          <w:b/>
          <w:sz w:val="28"/>
          <w:szCs w:val="24"/>
        </w:rPr>
        <w:t>Importance of Practice in the Information and Records Management Education: A Survey on Internships</w:t>
      </w:r>
    </w:p>
    <w:p w:rsidR="00501D90" w:rsidRDefault="00501D90" w:rsidP="00501D90">
      <w:pPr>
        <w:spacing w:after="0"/>
        <w:rPr>
          <w:rFonts w:cs="Times New Roman"/>
          <w:b/>
          <w:szCs w:val="24"/>
        </w:rPr>
      </w:pPr>
    </w:p>
    <w:p w:rsidR="00C93A46" w:rsidRPr="00501D90" w:rsidRDefault="00C93A46" w:rsidP="00C93A46">
      <w:pPr>
        <w:spacing w:after="0"/>
        <w:jc w:val="center"/>
        <w:rPr>
          <w:rFonts w:cs="Times New Roman"/>
          <w:b/>
          <w:szCs w:val="24"/>
        </w:rPr>
      </w:pPr>
      <w:r w:rsidRPr="00501D90">
        <w:rPr>
          <w:rFonts w:cs="Times New Roman"/>
          <w:b/>
          <w:szCs w:val="24"/>
        </w:rPr>
        <w:t>Özhan SAĞLIK</w:t>
      </w:r>
      <w:r w:rsidRPr="00501D90">
        <w:rPr>
          <w:rStyle w:val="DipnotBavurusu"/>
          <w:rFonts w:cs="Times New Roman"/>
          <w:b/>
          <w:szCs w:val="24"/>
        </w:rPr>
        <w:footnoteReference w:id="2"/>
      </w:r>
    </w:p>
    <w:p w:rsidR="00C93A46" w:rsidRDefault="00C93A46" w:rsidP="00725586">
      <w:pPr>
        <w:spacing w:after="0" w:line="240" w:lineRule="auto"/>
        <w:rPr>
          <w:rFonts w:cs="Times New Roman"/>
          <w:b/>
          <w:szCs w:val="24"/>
        </w:rPr>
      </w:pPr>
    </w:p>
    <w:p w:rsidR="00E06121" w:rsidRDefault="00E06121" w:rsidP="00725586">
      <w:pPr>
        <w:spacing w:after="0" w:line="240" w:lineRule="auto"/>
        <w:rPr>
          <w:rFonts w:cs="Times New Roman"/>
          <w:b/>
          <w:i/>
          <w:szCs w:val="24"/>
        </w:rPr>
      </w:pPr>
      <w:r w:rsidRPr="00813857">
        <w:rPr>
          <w:rFonts w:cs="Times New Roman"/>
          <w:b/>
          <w:i/>
          <w:szCs w:val="24"/>
        </w:rPr>
        <w:t>Öz</w:t>
      </w:r>
    </w:p>
    <w:p w:rsidR="00501D90" w:rsidRPr="00813857" w:rsidRDefault="00501D90" w:rsidP="00725586">
      <w:pPr>
        <w:spacing w:after="0" w:line="240" w:lineRule="auto"/>
        <w:rPr>
          <w:rFonts w:cs="Times New Roman"/>
          <w:b/>
          <w:i/>
          <w:szCs w:val="24"/>
        </w:rPr>
      </w:pPr>
    </w:p>
    <w:p w:rsidR="00E06121" w:rsidRDefault="00E06121" w:rsidP="00725586">
      <w:pPr>
        <w:spacing w:after="0" w:line="240" w:lineRule="auto"/>
        <w:rPr>
          <w:rFonts w:cs="Times New Roman"/>
          <w:i/>
          <w:szCs w:val="24"/>
        </w:rPr>
      </w:pPr>
      <w:r w:rsidRPr="00E06121">
        <w:rPr>
          <w:rFonts w:cs="Times New Roman"/>
          <w:i/>
          <w:szCs w:val="24"/>
        </w:rPr>
        <w:t>Türkiye'de Bilgi ve Belge Yönetimi (BBY) bölümlerinin lisans düzeyinde 4 yıllık müfredat dilimleriyle eğitim-öğretim verilmektedir. Türkiye'deki BBY programlarında öğrencilerin arşiv ve kütüphanelerde belirli süreler kalarak uygulama yaptıkları zorunlu staj programları mevcuttur. Bu staj programları, bir ay sürmektedir. Bu çalışmada, bilgi ve belge yönetimi pratiğini içselleştirmek için bir aylık staj programları yeterli midir sorusuna cevap aranmaktadır. Bununla birlikte, BBY programlarında teori ve uygulama bir arada götürülürse, öğrenciler daha nitelikli olabilir mi sorusu sorulmaktadır. Çalışma, bu soruların araştırılması amacıyla ortaya çıkmaktadır. Araştırmada "mevcut staj uygulaması, BBY öğrencilerini mezun olduktan sonra yapacakları mesleğe hazırlamak konusunda yeterli olmamaktadır" hipotezinden yola çıkılarak hareket edilmektedir. Çalışmada, staj yapmış ve bir arşiv veya kütüphanede en az 18 aydır çalışan BBY mezunlarının staj hakkındaki düşüncelerini tespit etmek amacıyla kendilerine birtakım sorular sorulup, anket yöntemi kullanılmaktadır. Öğrencilerin mezun olduktan sonra yapacakları işe dair bilgiler öğrendiği stajların etkili olması, öğrencilerin iş hayatına daha hazır başlamalarına vesile olabilmektedir. Yazar, çalışmada bu vesile olma sürecine katkıda bulunmayı ümit etmektedir. Çalışma sonucunda elde edilen bulgular şöyle belirtilebilir:BBY mezunları, stajların kendilerini mesleğe hazırlamak konusunda yeterli olmadığını ifade etmektedir.</w:t>
      </w:r>
      <w:r w:rsidR="00E82792">
        <w:rPr>
          <w:rFonts w:cs="Times New Roman"/>
          <w:i/>
          <w:szCs w:val="24"/>
        </w:rPr>
        <w:t>M</w:t>
      </w:r>
      <w:r w:rsidRPr="00E06121">
        <w:rPr>
          <w:rFonts w:cs="Times New Roman"/>
          <w:i/>
          <w:szCs w:val="24"/>
        </w:rPr>
        <w:t>ezunlar, eğitim-öğretim dönemi içerisinde dersler ile birlikte yürütülecek stajların, kendilerini mesleğe daha iyi hazırlayacağını düşünmektedir.</w:t>
      </w:r>
    </w:p>
    <w:p w:rsidR="00813857" w:rsidRDefault="00813857" w:rsidP="00725586">
      <w:pPr>
        <w:spacing w:after="0" w:line="240" w:lineRule="auto"/>
        <w:rPr>
          <w:rFonts w:cs="Times New Roman"/>
          <w:i/>
          <w:szCs w:val="24"/>
        </w:rPr>
      </w:pPr>
    </w:p>
    <w:p w:rsidR="00813857" w:rsidRPr="00501D90" w:rsidRDefault="00813857" w:rsidP="00725586">
      <w:pPr>
        <w:spacing w:after="0" w:line="240" w:lineRule="auto"/>
        <w:rPr>
          <w:rFonts w:cs="Times New Roman"/>
          <w:i/>
          <w:szCs w:val="24"/>
        </w:rPr>
      </w:pPr>
      <w:r w:rsidRPr="00501D90">
        <w:rPr>
          <w:rFonts w:cs="Times New Roman"/>
          <w:b/>
          <w:i/>
          <w:szCs w:val="24"/>
        </w:rPr>
        <w:t>Anahtar Sözcükler:</w:t>
      </w:r>
      <w:r w:rsidR="00501D90" w:rsidRPr="00501D90">
        <w:rPr>
          <w:rFonts w:cs="Times New Roman"/>
          <w:i/>
          <w:szCs w:val="24"/>
        </w:rPr>
        <w:t>bilgi ve belge yönetimi e</w:t>
      </w:r>
      <w:r w:rsidR="00F7572E">
        <w:rPr>
          <w:rFonts w:cs="Times New Roman"/>
          <w:i/>
          <w:szCs w:val="24"/>
        </w:rPr>
        <w:t>ğitimi, meslekî eğitim, staj</w:t>
      </w:r>
    </w:p>
    <w:p w:rsidR="00725586" w:rsidRDefault="00725586" w:rsidP="00725586">
      <w:pPr>
        <w:spacing w:after="0" w:line="240" w:lineRule="auto"/>
        <w:rPr>
          <w:rFonts w:cs="Times New Roman"/>
          <w:i/>
          <w:szCs w:val="24"/>
        </w:rPr>
      </w:pPr>
    </w:p>
    <w:p w:rsidR="00E06121" w:rsidRDefault="00E06121" w:rsidP="00725586">
      <w:pPr>
        <w:spacing w:after="0" w:line="240" w:lineRule="auto"/>
        <w:rPr>
          <w:rFonts w:cs="Times New Roman"/>
          <w:b/>
          <w:i/>
          <w:szCs w:val="24"/>
        </w:rPr>
      </w:pPr>
      <w:r w:rsidRPr="00501D90">
        <w:rPr>
          <w:rFonts w:cs="Times New Roman"/>
          <w:b/>
          <w:i/>
          <w:szCs w:val="24"/>
        </w:rPr>
        <w:t>Abstract</w:t>
      </w:r>
    </w:p>
    <w:p w:rsidR="00501D90" w:rsidRPr="00501D90" w:rsidRDefault="00501D90" w:rsidP="00725586">
      <w:pPr>
        <w:spacing w:after="0" w:line="240" w:lineRule="auto"/>
        <w:rPr>
          <w:rFonts w:cs="Times New Roman"/>
          <w:b/>
          <w:i/>
          <w:szCs w:val="24"/>
        </w:rPr>
      </w:pPr>
    </w:p>
    <w:p w:rsidR="00E06121" w:rsidRPr="007F1C2F" w:rsidRDefault="00E06121" w:rsidP="00725586">
      <w:pPr>
        <w:spacing w:after="0" w:line="240" w:lineRule="auto"/>
        <w:rPr>
          <w:rFonts w:cs="Times New Roman"/>
          <w:i/>
          <w:szCs w:val="24"/>
          <w:shd w:val="clear" w:color="auto" w:fill="FCFCFC"/>
        </w:rPr>
      </w:pPr>
      <w:r>
        <w:rPr>
          <w:rFonts w:cs="Times New Roman"/>
          <w:i/>
          <w:szCs w:val="24"/>
        </w:rPr>
        <w:t>Information and Records Management</w:t>
      </w:r>
      <w:r w:rsidR="008F7350">
        <w:rPr>
          <w:rFonts w:cs="Times New Roman"/>
          <w:i/>
          <w:szCs w:val="24"/>
        </w:rPr>
        <w:t xml:space="preserve"> (IRM)</w:t>
      </w:r>
      <w:r w:rsidR="008A00C1">
        <w:rPr>
          <w:rFonts w:cs="Times New Roman"/>
          <w:i/>
          <w:szCs w:val="24"/>
        </w:rPr>
        <w:t>d</w:t>
      </w:r>
      <w:r>
        <w:rPr>
          <w:rFonts w:cs="Times New Roman"/>
          <w:i/>
          <w:szCs w:val="24"/>
        </w:rPr>
        <w:t>epartments instructed with 4 yeared curriculum on the</w:t>
      </w:r>
      <w:r w:rsidR="008F7350">
        <w:rPr>
          <w:rFonts w:cs="Times New Roman"/>
          <w:i/>
          <w:szCs w:val="24"/>
        </w:rPr>
        <w:t xml:space="preserve"> undergraduate degree in Turkey. There are imperative internship implementation that students working in archives and libraries </w:t>
      </w:r>
      <w:r w:rsidR="008A00C1">
        <w:rPr>
          <w:rFonts w:cs="Times New Roman"/>
          <w:i/>
          <w:szCs w:val="24"/>
        </w:rPr>
        <w:t>within certain periods in Turkish IRM departments.</w:t>
      </w:r>
      <w:r w:rsidR="003B414B">
        <w:rPr>
          <w:rFonts w:cs="Times New Roman"/>
          <w:i/>
          <w:szCs w:val="24"/>
        </w:rPr>
        <w:t xml:space="preserve"> These internships</w:t>
      </w:r>
      <w:r w:rsidR="008A00C1">
        <w:rPr>
          <w:rFonts w:cs="Times New Roman"/>
          <w:i/>
          <w:szCs w:val="24"/>
        </w:rPr>
        <w:t xml:space="preserve"> take a month. In this study, </w:t>
      </w:r>
      <w:r w:rsidR="003B414B">
        <w:rPr>
          <w:rFonts w:cs="Times New Roman"/>
          <w:i/>
          <w:szCs w:val="24"/>
        </w:rPr>
        <w:t>do</w:t>
      </w:r>
      <w:r w:rsidR="008A00C1">
        <w:rPr>
          <w:rFonts w:cs="Times New Roman"/>
          <w:i/>
          <w:szCs w:val="24"/>
        </w:rPr>
        <w:t xml:space="preserve"> one month internship program</w:t>
      </w:r>
      <w:r w:rsidR="003B414B">
        <w:rPr>
          <w:rFonts w:cs="Times New Roman"/>
          <w:i/>
          <w:szCs w:val="24"/>
        </w:rPr>
        <w:t>s</w:t>
      </w:r>
      <w:r w:rsidR="008A00C1">
        <w:rPr>
          <w:rFonts w:cs="Times New Roman"/>
          <w:i/>
          <w:szCs w:val="24"/>
        </w:rPr>
        <w:t xml:space="preserve"> sufficient to internalize the practice of information and records management question will be answering. At the same time, if theory and practice </w:t>
      </w:r>
      <w:r w:rsidR="008A00C1" w:rsidRPr="007F1C2F">
        <w:rPr>
          <w:rFonts w:cs="Times New Roman"/>
          <w:i/>
          <w:szCs w:val="24"/>
          <w:shd w:val="clear" w:color="auto" w:fill="FCFCFC"/>
        </w:rPr>
        <w:t>concrescenced, students would be more qualified is being questioned.</w:t>
      </w:r>
      <w:r w:rsidR="003B414B" w:rsidRPr="007F1C2F">
        <w:rPr>
          <w:rFonts w:cs="Times New Roman"/>
          <w:i/>
          <w:szCs w:val="24"/>
          <w:shd w:val="clear" w:color="auto" w:fill="FCFCFC"/>
        </w:rPr>
        <w:t xml:space="preserve"> S</w:t>
      </w:r>
      <w:r w:rsidR="00340962" w:rsidRPr="007F1C2F">
        <w:rPr>
          <w:rFonts w:cs="Times New Roman"/>
          <w:i/>
          <w:szCs w:val="24"/>
          <w:shd w:val="clear" w:color="auto" w:fill="FCFCFC"/>
        </w:rPr>
        <w:t xml:space="preserve">tudy is occured to exploring these questions. </w:t>
      </w:r>
      <w:r w:rsidR="00175E73" w:rsidRPr="007F1C2F">
        <w:rPr>
          <w:rFonts w:cs="Times New Roman"/>
          <w:i/>
          <w:szCs w:val="24"/>
          <w:shd w:val="clear" w:color="auto" w:fill="FCFCFC"/>
        </w:rPr>
        <w:t>"</w:t>
      </w:r>
      <w:r w:rsidR="00340962" w:rsidRPr="007F1C2F">
        <w:rPr>
          <w:rFonts w:cs="Times New Roman"/>
          <w:i/>
          <w:szCs w:val="24"/>
          <w:shd w:val="clear" w:color="auto" w:fill="FCFCFC"/>
        </w:rPr>
        <w:t>Recent internship implementation is not suf</w:t>
      </w:r>
      <w:r w:rsidR="00175E73" w:rsidRPr="007F1C2F">
        <w:rPr>
          <w:rFonts w:cs="Times New Roman"/>
          <w:i/>
          <w:szCs w:val="24"/>
          <w:shd w:val="clear" w:color="auto" w:fill="FCFCFC"/>
        </w:rPr>
        <w:t xml:space="preserve">ficient to preparing students for </w:t>
      </w:r>
      <w:r w:rsidR="00340962" w:rsidRPr="007F1C2F">
        <w:rPr>
          <w:rFonts w:cs="Times New Roman"/>
          <w:i/>
          <w:szCs w:val="24"/>
          <w:shd w:val="clear" w:color="auto" w:fill="FCFCFC"/>
        </w:rPr>
        <w:t xml:space="preserve">jobs </w:t>
      </w:r>
      <w:r w:rsidR="00175E73" w:rsidRPr="007F1C2F">
        <w:rPr>
          <w:rFonts w:cs="Times New Roman"/>
          <w:i/>
          <w:szCs w:val="24"/>
          <w:shd w:val="clear" w:color="auto" w:fill="FCFCFC"/>
        </w:rPr>
        <w:t>done by them after they graduate" is the hypothesis. There are s</w:t>
      </w:r>
      <w:r w:rsidR="00E82792" w:rsidRPr="007F1C2F">
        <w:rPr>
          <w:rFonts w:cs="Times New Roman"/>
          <w:i/>
          <w:szCs w:val="24"/>
          <w:shd w:val="clear" w:color="auto" w:fill="FCFCFC"/>
        </w:rPr>
        <w:t>ome questions asked to IRM alumni</w:t>
      </w:r>
      <w:r w:rsidR="003B414B" w:rsidRPr="007F1C2F">
        <w:rPr>
          <w:rFonts w:cs="Times New Roman"/>
          <w:i/>
          <w:szCs w:val="24"/>
          <w:shd w:val="clear" w:color="auto" w:fill="FCFCFC"/>
        </w:rPr>
        <w:t xml:space="preserve">s who </w:t>
      </w:r>
      <w:r w:rsidR="00175E73" w:rsidRPr="007F1C2F">
        <w:rPr>
          <w:rFonts w:cs="Times New Roman"/>
          <w:i/>
          <w:szCs w:val="24"/>
          <w:shd w:val="clear" w:color="auto" w:fill="FCFCFC"/>
        </w:rPr>
        <w:t xml:space="preserve">had been intern and has been working 18 months in archive or library and survey method is being </w:t>
      </w:r>
      <w:r w:rsidR="00175E73" w:rsidRPr="00B648D7">
        <w:rPr>
          <w:rFonts w:cs="Times New Roman"/>
          <w:i/>
          <w:szCs w:val="24"/>
          <w:shd w:val="clear" w:color="auto" w:fill="FCFCFC"/>
        </w:rPr>
        <w:lastRenderedPageBreak/>
        <w:t>used. Efficient of internships that the students have been learning for their potential jobs after they graduate, could be conduce making students more ready to working life. Writer is hoping to contribute this conducing process. The findings obtained in consequence of this study are</w:t>
      </w:r>
      <w:r w:rsidR="00E82792" w:rsidRPr="00B648D7">
        <w:rPr>
          <w:rFonts w:cs="Times New Roman"/>
          <w:i/>
          <w:szCs w:val="24"/>
          <w:shd w:val="clear" w:color="auto" w:fill="FCFCFC"/>
        </w:rPr>
        <w:t xml:space="preserve"> mentioned like that: IRM alumni</w:t>
      </w:r>
      <w:r w:rsidR="00175E73" w:rsidRPr="00B648D7">
        <w:rPr>
          <w:rFonts w:cs="Times New Roman"/>
          <w:i/>
          <w:szCs w:val="24"/>
          <w:shd w:val="clear" w:color="auto" w:fill="FCFCFC"/>
        </w:rPr>
        <w:t>s,expressed that internships are not sufficient to prepare them for working life.</w:t>
      </w:r>
      <w:r w:rsidR="00E82792" w:rsidRPr="00B648D7">
        <w:rPr>
          <w:rFonts w:cs="Times New Roman"/>
          <w:i/>
          <w:szCs w:val="24"/>
          <w:shd w:val="clear" w:color="auto" w:fill="FCFCFC"/>
        </w:rPr>
        <w:t xml:space="preserve"> Alumnis are thinking that internships that concrescenced with lessons in education period, would prepare better to profess.</w:t>
      </w:r>
      <w:bookmarkStart w:id="0" w:name="_GoBack"/>
      <w:bookmarkEnd w:id="0"/>
    </w:p>
    <w:p w:rsidR="00501D90" w:rsidRDefault="00501D90" w:rsidP="00725586">
      <w:pPr>
        <w:spacing w:after="0" w:line="240" w:lineRule="auto"/>
        <w:rPr>
          <w:rFonts w:cs="Times New Roman"/>
          <w:i/>
          <w:color w:val="000000"/>
          <w:szCs w:val="24"/>
          <w:shd w:val="clear" w:color="auto" w:fill="FCFCFC"/>
        </w:rPr>
      </w:pPr>
    </w:p>
    <w:p w:rsidR="00501D90" w:rsidRDefault="00501D90" w:rsidP="00725586">
      <w:pPr>
        <w:spacing w:after="0" w:line="240" w:lineRule="auto"/>
        <w:rPr>
          <w:rFonts w:cs="Times New Roman"/>
          <w:i/>
          <w:color w:val="000000"/>
          <w:szCs w:val="24"/>
          <w:shd w:val="clear" w:color="auto" w:fill="FCFCFC"/>
        </w:rPr>
      </w:pPr>
      <w:r w:rsidRPr="00501D90">
        <w:rPr>
          <w:rFonts w:cs="Times New Roman"/>
          <w:b/>
          <w:i/>
          <w:color w:val="000000"/>
          <w:szCs w:val="24"/>
          <w:shd w:val="clear" w:color="auto" w:fill="FCFCFC"/>
        </w:rPr>
        <w:t>Keywords:</w:t>
      </w:r>
      <w:r w:rsidRPr="00B648D7">
        <w:rPr>
          <w:rFonts w:cs="Times New Roman"/>
          <w:i/>
          <w:color w:val="000000"/>
          <w:szCs w:val="24"/>
          <w:shd w:val="clear" w:color="auto" w:fill="FCFCFC"/>
        </w:rPr>
        <w:t xml:space="preserve">education for information and records </w:t>
      </w:r>
      <w:r w:rsidR="00F7572E" w:rsidRPr="00B648D7">
        <w:rPr>
          <w:rFonts w:cs="Times New Roman"/>
          <w:i/>
          <w:color w:val="000000"/>
          <w:szCs w:val="24"/>
          <w:shd w:val="clear" w:color="auto" w:fill="FCFCFC"/>
        </w:rPr>
        <w:t>management,vocational education, internship</w:t>
      </w:r>
    </w:p>
    <w:p w:rsidR="00725586" w:rsidRDefault="00725586" w:rsidP="00725586">
      <w:pPr>
        <w:spacing w:after="0" w:line="240" w:lineRule="auto"/>
        <w:rPr>
          <w:rFonts w:cs="Times New Roman"/>
          <w:i/>
          <w:color w:val="000000"/>
          <w:szCs w:val="24"/>
          <w:shd w:val="clear" w:color="auto" w:fill="FCFCFC"/>
        </w:rPr>
      </w:pPr>
    </w:p>
    <w:p w:rsidR="00F7572E" w:rsidRDefault="00F7572E" w:rsidP="00F7572E">
      <w:pPr>
        <w:spacing w:after="0"/>
        <w:rPr>
          <w:rFonts w:cs="Times New Roman"/>
          <w:b/>
          <w:color w:val="000000"/>
          <w:szCs w:val="24"/>
          <w:shd w:val="clear" w:color="auto" w:fill="FCFCFC"/>
        </w:rPr>
      </w:pPr>
    </w:p>
    <w:p w:rsidR="00E06121" w:rsidRPr="00F7572E" w:rsidRDefault="002049C0" w:rsidP="00F7572E">
      <w:pPr>
        <w:spacing w:after="0"/>
        <w:rPr>
          <w:rFonts w:cs="Times New Roman"/>
          <w:b/>
          <w:color w:val="000000"/>
          <w:szCs w:val="24"/>
          <w:shd w:val="clear" w:color="auto" w:fill="FCFCFC"/>
        </w:rPr>
      </w:pPr>
      <w:r w:rsidRPr="00F7572E">
        <w:rPr>
          <w:rFonts w:cs="Times New Roman"/>
          <w:b/>
          <w:color w:val="000000"/>
          <w:szCs w:val="24"/>
          <w:shd w:val="clear" w:color="auto" w:fill="FCFCFC"/>
        </w:rPr>
        <w:t>Giriş</w:t>
      </w:r>
    </w:p>
    <w:p w:rsidR="00532BA7" w:rsidRDefault="00FE3881" w:rsidP="00F7572E">
      <w:pPr>
        <w:spacing w:after="0"/>
      </w:pPr>
      <w:r>
        <w:t xml:space="preserve">Türkiye'deki üniversitelerin kimi bölümlerinde okuyan öğrenciler müfredatları gereği zorunlu stajlar yapmaktadır. </w:t>
      </w:r>
      <w:r w:rsidR="00345727">
        <w:t xml:space="preserve">Bu stajların türü ve süresi bölümlere göre çeşitlilik göstermektedir. </w:t>
      </w:r>
      <w:r w:rsidR="009E0551">
        <w:t>Türk Dil Kurumu (TDK) Sözlüğünde staj; "bir kimsenin meslek bilgisini artırmak için bir kurumun bir veya birçok bölümünde çalışarak geçirdiği dönem olarak" tanımlanmaktadır (T</w:t>
      </w:r>
      <w:r w:rsidR="00813857">
        <w:t>DK</w:t>
      </w:r>
      <w:r w:rsidR="009E0551">
        <w:t>, Güncel Türkçe Sözlük). Türkçe Bilim Terimleri Sözlüğünde ise; "herhangi bir iş ve meslekte, meslek bilgisini artırmak ve geliştirmek için deneyimli görevliler yanında ve onların gözetimi altında yapılan uygulama çalışmaları" olarak ifade edilmektedir (Türkiye Bilimler Akademisi [TUBA], Bilim Terimleri Sözlüğü). Bu tanımlardan da anlaşıldığı üzere stajlar meslek bilgisini artırıcı uygulama deneyimini</w:t>
      </w:r>
      <w:r>
        <w:t xml:space="preserve"> kazandıran süreçler olarak algılanabilir. Bu çalışmada Türkiye'deki </w:t>
      </w:r>
      <w:r w:rsidR="00345727">
        <w:t>B</w:t>
      </w:r>
      <w:r w:rsidR="00813857">
        <w:t>ilgi ve Belge Yönetimi (B</w:t>
      </w:r>
      <w:r w:rsidR="00345727">
        <w:t>BY</w:t>
      </w:r>
      <w:r w:rsidR="00813857">
        <w:t>)</w:t>
      </w:r>
      <w:r w:rsidR="00345727">
        <w:t xml:space="preserve"> b</w:t>
      </w:r>
      <w:r>
        <w:t>ölümlerinde mevcut olan staj uygulamaları değerlendirilmektedir.</w:t>
      </w:r>
    </w:p>
    <w:p w:rsidR="00C3672D" w:rsidRDefault="00C3672D" w:rsidP="00725586">
      <w:pPr>
        <w:spacing w:after="0"/>
      </w:pPr>
    </w:p>
    <w:p w:rsidR="00EA1AA2" w:rsidRDefault="00CE7167" w:rsidP="00725586">
      <w:pPr>
        <w:spacing w:after="0"/>
      </w:pPr>
      <w:r>
        <w:t>Tü</w:t>
      </w:r>
      <w:r w:rsidR="00813857">
        <w:t xml:space="preserve">rkiye'de </w:t>
      </w:r>
      <w:r>
        <w:t>BBY</w:t>
      </w:r>
      <w:r w:rsidR="00813857">
        <w:t xml:space="preserve"> bölümleri</w:t>
      </w:r>
      <w:r>
        <w:t xml:space="preserve"> 2002 yılında; Kütüphanecilik, Arşivcilik, Dokümantasyon-Enformasyon bölümlerinin birleştirilmesiyle tesis edilmiştir</w:t>
      </w:r>
      <w:r w:rsidR="00A64C61">
        <w:t xml:space="preserve"> (Çakın, 2005, s. 18)</w:t>
      </w:r>
      <w:r>
        <w:t>.</w:t>
      </w:r>
      <w:r w:rsidR="00E6151F">
        <w:t xml:space="preserve"> 2014 yılı itibariyle 8</w:t>
      </w:r>
      <w:r>
        <w:t xml:space="preserve"> üniversitede BBY eğitim-öğretimi verilmektedir. Bu üniversiteler; Ankara, Atatürk, Çankırı Karatekin, Hacettepe, İstanbul</w:t>
      </w:r>
      <w:r w:rsidR="00595C26">
        <w:t>, Marmara</w:t>
      </w:r>
      <w:r w:rsidR="00E6151F">
        <w:t xml:space="preserve">, Yıldırım Beyazıt ve Yakındoğu </w:t>
      </w:r>
      <w:r>
        <w:t>Üniversitesi olarak belirtilebilir.4 yıllık lisans eğitimi veren BBY programlarında zo</w:t>
      </w:r>
      <w:r w:rsidR="00F37178">
        <w:t xml:space="preserve">runlu stajlar mevcut olmakta; </w:t>
      </w:r>
      <w:r w:rsidR="004C0263">
        <w:t>staj süre ve dönemi üniversitelere göre değişiklik</w:t>
      </w:r>
      <w:r>
        <w:t xml:space="preserve"> göster</w:t>
      </w:r>
      <w:r w:rsidR="004C0263">
        <w:t>ebil</w:t>
      </w:r>
      <w:r>
        <w:t xml:space="preserve">mektedir. </w:t>
      </w:r>
      <w:r w:rsidR="00036CE3">
        <w:t>G</w:t>
      </w:r>
      <w:r>
        <w:t xml:space="preserve">enel bir fikir </w:t>
      </w:r>
      <w:r w:rsidR="00403D61">
        <w:t xml:space="preserve">verebilmesi </w:t>
      </w:r>
      <w:r>
        <w:t>açısından</w:t>
      </w:r>
      <w:r w:rsidR="00AF260F">
        <w:t>staj uygulamaları</w:t>
      </w:r>
      <w:r w:rsidR="00E6151F">
        <w:t xml:space="preserve"> ile staj yapan öğrencileri</w:t>
      </w:r>
      <w:r w:rsidR="00AF260F">
        <w:t xml:space="preserve"> bulunan Ankara, </w:t>
      </w:r>
      <w:r w:rsidR="00E6151F">
        <w:t>Atatürk, Hacettepe, İstanbul, Marmara ve Yakındoğu Üniversitelerinin</w:t>
      </w:r>
      <w:r w:rsidR="00403D61">
        <w:t xml:space="preserve"> staj </w:t>
      </w:r>
      <w:r w:rsidR="00364DE5">
        <w:t>uygulamaların</w:t>
      </w:r>
      <w:r w:rsidR="00EA1AA2">
        <w:t>dan kısaca bahsedilecektir.</w:t>
      </w:r>
      <w:r w:rsidR="00036CE3">
        <w:t xml:space="preserve"> Bu uygulamaların bahsinden önce, BBY literatüründe stajları konu alan ve buna değinen çalışma</w:t>
      </w:r>
      <w:r w:rsidR="00532BA7">
        <w:t>lar hakkında bilgi vermek gerek</w:t>
      </w:r>
      <w:r w:rsidR="00036CE3">
        <w:t>mektedir.</w:t>
      </w:r>
    </w:p>
    <w:p w:rsidR="00427CB7" w:rsidRDefault="00427CB7" w:rsidP="00725586">
      <w:pPr>
        <w:spacing w:after="0"/>
      </w:pPr>
    </w:p>
    <w:p w:rsidR="00B648D7" w:rsidRDefault="00B648D7" w:rsidP="00532BA7">
      <w:pPr>
        <w:spacing w:after="0"/>
        <w:rPr>
          <w:b/>
          <w:szCs w:val="24"/>
        </w:rPr>
      </w:pPr>
    </w:p>
    <w:p w:rsidR="00C3672D" w:rsidRPr="00F7572E" w:rsidRDefault="00427CB7" w:rsidP="00532BA7">
      <w:pPr>
        <w:spacing w:after="0"/>
        <w:rPr>
          <w:b/>
          <w:szCs w:val="24"/>
        </w:rPr>
      </w:pPr>
      <w:r w:rsidRPr="00F7572E">
        <w:rPr>
          <w:b/>
          <w:szCs w:val="24"/>
        </w:rPr>
        <w:lastRenderedPageBreak/>
        <w:t>Literatür Taraması</w:t>
      </w:r>
      <w:r w:rsidR="00532BA7" w:rsidRPr="00F7572E">
        <w:rPr>
          <w:b/>
          <w:szCs w:val="24"/>
        </w:rPr>
        <w:tab/>
      </w:r>
    </w:p>
    <w:p w:rsidR="00433FEB" w:rsidRDefault="00532BA7" w:rsidP="00532BA7">
      <w:pPr>
        <w:spacing w:after="0"/>
      </w:pPr>
      <w:r>
        <w:t>Aysun Ülkü Aydın 1994 yılında bitirdiği yüksek lisans tezinde Hacettepe Üniversitesi Kütüphanecilik Bölümünde yapılan stajların son sınıf öğrencileri tarafından nasıl değ</w:t>
      </w:r>
      <w:r w:rsidR="00433FEB">
        <w:t xml:space="preserve">erlendirildiğini araştırmıştır (Aydın, 1994). </w:t>
      </w:r>
    </w:p>
    <w:p w:rsidR="00532BA7" w:rsidRDefault="00A26E55" w:rsidP="00532BA7">
      <w:pPr>
        <w:spacing w:after="0"/>
      </w:pPr>
      <w:r>
        <w:t>Staj yapanların s</w:t>
      </w:r>
      <w:r w:rsidR="00532BA7">
        <w:t>tajlara dair gözlemleri</w:t>
      </w:r>
      <w:r>
        <w:t>ni anlattığı iki çalışma bulunmaktadır.</w:t>
      </w:r>
      <w:r w:rsidR="00532BA7">
        <w:t xml:space="preserve"> (Varol, 2003, s. 199-200;Çetinkaya ve Kurşun, 2011, s. 156-161). </w:t>
      </w:r>
    </w:p>
    <w:p w:rsidR="00532BA7" w:rsidRDefault="00532BA7" w:rsidP="00532BA7">
      <w:pPr>
        <w:spacing w:after="0"/>
      </w:pPr>
      <w:r>
        <w:t xml:space="preserve">2007 yılında yapılan Değişen Dünyada Bilgi Yönetimi Sempozyumunda staj mevzusunun üzerine odaklanıldığı dikkat çekmektedir. Nilufer Tuncer, Hacettepe Üniversitesinde staj uygulamasının nasıl başladığını aktarmaktadır (Tuncer, 2007, s. 17).  Arşivcilik eğitimine dair yapılan bildirilerde uygulamanın önemine dikkat çekilmekte; arşivcilik teorisinin uygulamalar ile güçlendirilmesi gerektiğine vurgu yapılmaktadır. (Baydur ve Külcü, 2007, s. 30; Keskin, 2007, s. 90). </w:t>
      </w:r>
    </w:p>
    <w:p w:rsidR="00532BA7" w:rsidRDefault="00532BA7" w:rsidP="00532BA7">
      <w:pPr>
        <w:spacing w:after="0"/>
      </w:pPr>
      <w:r>
        <w:t xml:space="preserve">Hacettepe Üniversitesi BBY akademisyenlerinin bölüm müfredatına dair değişiklikleri aktardıkları çalışmalarda stajlar üzerine odaklandıkları görülmektedir. Hacettepe Üniversitesi BBY Bölümünün bölümdeki eğitim üzerine 2003 yılında yazdığı eleştirilerde staj sürelerinin uzatılması gerektiği belirtilmektedir. Bununla birlikte 2012 yılında stajların eğitim-öğretim dönemi içerisinde gerçekleştirilmesine karar verilmiştir (Çakın, 2012, s. 275). Tonta'nın 2012 yılında yayınlanan çalışmasında </w:t>
      </w:r>
      <w:r w:rsidRPr="00813857">
        <w:t>Hacettepe Üniversitesi BBY öğrencilerinin staj sürelerini yetersiz bulduğu ifade edilmekte; yapılan düzenleme ile</w:t>
      </w:r>
      <w:r w:rsidR="00813857" w:rsidRPr="00813857">
        <w:t xml:space="preserve"> daha önce yaz döneminde yapılan stajların 14 hafta boyunca haftada üç iş günü kurumlarda çalışılarak gerçekleştirileceği </w:t>
      </w:r>
      <w:r w:rsidRPr="00813857">
        <w:t>belirtilmektedir (Tonta, 2012, s. 298 ve s. 302).</w:t>
      </w:r>
    </w:p>
    <w:p w:rsidR="00532BA7" w:rsidRDefault="00532BA7" w:rsidP="00532BA7">
      <w:pPr>
        <w:spacing w:after="0"/>
      </w:pPr>
      <w:r>
        <w:t xml:space="preserve">Elsa Bitri 2013 yılında yayınlanan Arnavutluk'ta Kütüphane ve Bilgibilim eğitimi üzerine odaklanan çalışmasında; üniversitelerde verilecek lisans eğitimlerinde </w:t>
      </w:r>
      <w:r w:rsidR="00E80A97">
        <w:t xml:space="preserve">zorunlu </w:t>
      </w:r>
      <w:r>
        <w:t>stajların</w:t>
      </w:r>
      <w:r w:rsidR="00E80A97">
        <w:t xml:space="preserve"> olması gerektiğini ifade etmektedir</w:t>
      </w:r>
      <w:r>
        <w:t xml:space="preserve"> (Bitri, 2013, s. 123). </w:t>
      </w:r>
    </w:p>
    <w:p w:rsidR="00D33C81" w:rsidRDefault="00D33C81" w:rsidP="00532BA7">
      <w:pPr>
        <w:spacing w:after="0"/>
      </w:pPr>
    </w:p>
    <w:p w:rsidR="00433FEB" w:rsidRDefault="00D33C81" w:rsidP="00532BA7">
      <w:pPr>
        <w:spacing w:after="0"/>
      </w:pPr>
      <w:r>
        <w:t xml:space="preserve">Yurtdışında </w:t>
      </w:r>
      <w:r w:rsidR="003B050A">
        <w:t>B</w:t>
      </w:r>
      <w:r>
        <w:t>B</w:t>
      </w:r>
      <w:r w:rsidR="003B050A">
        <w:t>Y b</w:t>
      </w:r>
      <w:r>
        <w:t>ölümlerinin müfredatına dair yapılan çalışmalarda da stajları konu alan ve</w:t>
      </w:r>
      <w:r w:rsidR="003B050A">
        <w:t>/vey</w:t>
      </w:r>
      <w:r>
        <w:t>a buna dikkat çeken çalışmalar bulunmaktadır.</w:t>
      </w:r>
      <w:r w:rsidR="00FF40D8">
        <w:t>Çin'deki kütüphanecilik eğitiminin geleceği hakkında önerilerde bulunan bir çalışmada</w:t>
      </w:r>
      <w:r w:rsidR="005F5406">
        <w:t>,</w:t>
      </w:r>
      <w:r w:rsidR="00FF40D8">
        <w:t xml:space="preserve"> bölümlerde veri</w:t>
      </w:r>
      <w:r w:rsidR="003B050A">
        <w:t>len eğitimin dönem içerisinde yapılacak uygulamalarla pekiştirilmesi tavsiye edilmektedir</w:t>
      </w:r>
      <w:r w:rsidR="00FF40D8">
        <w:t xml:space="preserve"> (Xiaoying, 1997, s. 1-12). </w:t>
      </w:r>
    </w:p>
    <w:p w:rsidR="00433FEB" w:rsidRDefault="007B5159" w:rsidP="00532BA7">
      <w:pPr>
        <w:spacing w:after="0"/>
      </w:pPr>
      <w:r>
        <w:t xml:space="preserve">Sierra Leone'deki kütüphanecilik eğitiminin anlatıldığı çalışmada, kütüphanecilik eğitiminin uygulama ile </w:t>
      </w:r>
      <w:r w:rsidR="004C4C1D">
        <w:t>iç içe</w:t>
      </w:r>
      <w:r>
        <w:t xml:space="preserve"> geçerek yapılması önerilmektedir (Kargbo, 1999, s. 97-103). </w:t>
      </w:r>
    </w:p>
    <w:p w:rsidR="00433FEB" w:rsidRDefault="005A2B0D" w:rsidP="00532BA7">
      <w:pPr>
        <w:spacing w:after="0"/>
      </w:pPr>
      <w:r>
        <w:lastRenderedPageBreak/>
        <w:t>Amerika'da yapılan bir çalışmada, referans kütüphanecisinin görevini gerektiği gibi yapabilmesi için bölümlerin</w:t>
      </w:r>
      <w:r w:rsidR="003B050A">
        <w:t>,</w:t>
      </w:r>
      <w:r>
        <w:t xml:space="preserve"> uygulamayı merkezine alan eğitim programı tesis et</w:t>
      </w:r>
      <w:r w:rsidR="00D275A7">
        <w:t>mesi gerektiği belirtilmektedir (Meulemans ve Brown, 2001, s. 253-264).</w:t>
      </w:r>
    </w:p>
    <w:p w:rsidR="00433FEB" w:rsidRDefault="001507DE" w:rsidP="00532BA7">
      <w:pPr>
        <w:spacing w:after="0"/>
      </w:pPr>
      <w:r>
        <w:t xml:space="preserve">2007 yılında Afrika'da kütüphaneciliğin neden gelişmediğini anlatıp, </w:t>
      </w:r>
      <w:r w:rsidR="005F5406">
        <w:t xml:space="preserve">Kütüphanecilik </w:t>
      </w:r>
      <w:r w:rsidR="003B050A">
        <w:t>B</w:t>
      </w:r>
      <w:r>
        <w:t>ölümlerinin neler yapabileceğini sorgulayan bir çalışmada, bölümlerin öğrencileri kütüphanecilik sahasında uygulamalar yaptırarak yetiştirmesi gerektiği belirtilmektedir (Albright ve Kawooya, 2007, s. 109-120).</w:t>
      </w:r>
    </w:p>
    <w:p w:rsidR="00433FEB" w:rsidRDefault="0010315B" w:rsidP="00532BA7">
      <w:pPr>
        <w:spacing w:after="0"/>
      </w:pPr>
      <w:r>
        <w:t xml:space="preserve">Nijerya'daki </w:t>
      </w:r>
      <w:r w:rsidR="003B050A">
        <w:t>k</w:t>
      </w:r>
      <w:r w:rsidR="00B5642D">
        <w:t xml:space="preserve">ütüphanecilik </w:t>
      </w:r>
      <w:r>
        <w:t>eğitiminin incelendiği çalışma</w:t>
      </w:r>
      <w:r w:rsidR="005F5406">
        <w:t>larda</w:t>
      </w:r>
      <w:r>
        <w:t>, bölümlerin kütüphanelerle işbirliği yaparak kütüphanecileri mesleğe hazır olarak yetiştirmeleri ve teori ile pratik arasındaki boşluğun kapatılm</w:t>
      </w:r>
      <w:r w:rsidR="00C47989">
        <w:t>ası gerektiği vurgulanmaktadır (Diso ve Njoku, 2007, s. 121-133</w:t>
      </w:r>
      <w:r w:rsidR="00B5642D">
        <w:t>; Edegbo, 2001, s. 12</w:t>
      </w:r>
      <w:r w:rsidR="00C47989">
        <w:t xml:space="preserve">). </w:t>
      </w:r>
    </w:p>
    <w:p w:rsidR="00433FEB" w:rsidRDefault="00F05C2B" w:rsidP="00532BA7">
      <w:pPr>
        <w:spacing w:after="0"/>
      </w:pPr>
      <w:r>
        <w:t>Dominik Cumhuriyeti'ndeki kütüphanecilikle ilgili gelişmelerin ülkedeki mevc</w:t>
      </w:r>
      <w:r w:rsidR="003B050A">
        <w:t>ut eğitim müfredatı ile kökleşerek</w:t>
      </w:r>
      <w:r>
        <w:t xml:space="preserve"> serpilip serpilemeyeceğini sorgu</w:t>
      </w:r>
      <w:r w:rsidR="003B050A">
        <w:t>layan bir diğer çalışmada ise, kütüphanecilik ve a</w:t>
      </w:r>
      <w:r>
        <w:t>rşivcilik e</w:t>
      </w:r>
      <w:r w:rsidR="003B050A">
        <w:t>ğitimi veren müstakil bölüm</w:t>
      </w:r>
      <w:r>
        <w:t xml:space="preserve"> sayısının arttırılıp, bölümlerde verilen eğitimin uygulama ile birlikte yürütülmesi önerilmektedir (Mendez ve Montero, 2007, s. 89-102). </w:t>
      </w:r>
    </w:p>
    <w:p w:rsidR="00433FEB" w:rsidRDefault="0024559D" w:rsidP="00532BA7">
      <w:pPr>
        <w:spacing w:after="0"/>
      </w:pPr>
      <w:r>
        <w:t xml:space="preserve">Etiyopya'daki kütüphanecilik eğitiminin konu alındığı </w:t>
      </w:r>
      <w:r w:rsidR="003B050A">
        <w:t xml:space="preserve">bir </w:t>
      </w:r>
      <w:r>
        <w:t xml:space="preserve">çalışmada, ülkede verilen kütüphanecilik eğitimi anlatılmakta; kütüphanelerin toplumun ihtiyaçlarını karşılayabilmesi için saha tecrübesinin önemine dikkat çekilmektedir (Mammo, 2011, s. 110-120). </w:t>
      </w:r>
    </w:p>
    <w:p w:rsidR="00433FEB" w:rsidRDefault="00B032BD" w:rsidP="00532BA7">
      <w:pPr>
        <w:spacing w:after="0"/>
      </w:pPr>
      <w:r>
        <w:t>Avustralya'daki kütüphanecilik eğitimini öğrencilerin görüşleriyle değerlendiren bir çalışmada, 281 öğrenci ve 98 mezunun katıldığı bir anket yapılıp, öğrencilerin görüşleri alınmıştır. Öğrenciler, sahada gerçekleştirilen uygulamaların fazlalaştırılm</w:t>
      </w:r>
      <w:r w:rsidR="00813857">
        <w:t>ası gerektiğini ifade etmiştir.</w:t>
      </w:r>
      <w:r>
        <w:t xml:space="preserve"> (Combes, Hanisch, Carroll ve Hughes, 2011, s. 137-143). </w:t>
      </w:r>
    </w:p>
    <w:p w:rsidR="00433FEB" w:rsidRDefault="007F22BB" w:rsidP="00532BA7">
      <w:pPr>
        <w:spacing w:after="0"/>
      </w:pPr>
      <w:r>
        <w:t>Kanada'da yüksek lisans öğrencileri ile yapılan bir çalışmada, eğitim programının kendilerini mesleğe hazırlamak konusunda yeterli olup olm</w:t>
      </w:r>
      <w:r w:rsidR="003B050A">
        <w:t>adığı sorulmaktadır. Öğrenciler,</w:t>
      </w:r>
      <w:r>
        <w:t xml:space="preserve"> müfredatın kendilerini mesleğe hazırladığını fakat saha uygulamaları ile zenginleştirilmesi gerektiğ</w:t>
      </w:r>
      <w:r w:rsidR="00813857">
        <w:t>ini aktarmıştır.</w:t>
      </w:r>
      <w:r w:rsidR="008810ED">
        <w:t xml:space="preserve"> (Cherry, Duff, Singh ve Freund, 2011, s. 121-131).</w:t>
      </w:r>
    </w:p>
    <w:p w:rsidR="00433FEB" w:rsidRDefault="00D33C81" w:rsidP="00532BA7">
      <w:pPr>
        <w:spacing w:after="0"/>
      </w:pPr>
      <w:r>
        <w:t>Güney Kore'de yapılan bir çalışmada ülkedeki kütüphanecilere Bilgi ve Belge Yönetimi eğitimi ile ilgili sorular sorulmakta; lisans düzeyindeki</w:t>
      </w:r>
      <w:r w:rsidR="009D14AC">
        <w:t xml:space="preserve"> eğitimde öğrencilere hangi yetkinliklerin kazandırılm</w:t>
      </w:r>
      <w:r w:rsidR="00CB503A">
        <w:t>ası gerektiği hususunda görüşler bildirilmektedir.</w:t>
      </w:r>
      <w:r w:rsidR="001311C9">
        <w:t xml:space="preserve"> Çalışmaya 508 kütüphaneci katılmış olup, saha tecrübelerinin eğitim programlarında o</w:t>
      </w:r>
      <w:r w:rsidR="00813857">
        <w:t>lması gerektiğini belirtmişlerdir.</w:t>
      </w:r>
      <w:r>
        <w:t>(Noh, Ann ve Choi, 2012, s. 348-364)</w:t>
      </w:r>
      <w:r w:rsidR="00786222">
        <w:t>.</w:t>
      </w:r>
    </w:p>
    <w:p w:rsidR="00433FEB" w:rsidRDefault="00FF7F72" w:rsidP="00532BA7">
      <w:pPr>
        <w:spacing w:after="0"/>
      </w:pPr>
      <w:r>
        <w:t xml:space="preserve">Zimbabve'deki </w:t>
      </w:r>
      <w:r w:rsidR="001A30F5">
        <w:t xml:space="preserve">Ulusal Bilim ve Teknoloji Üniversitesi </w:t>
      </w:r>
      <w:r>
        <w:t xml:space="preserve">Belge </w:t>
      </w:r>
      <w:r w:rsidR="001A30F5">
        <w:t>Yönetimi ve Arşivcilik Bölümünün 2008-2012 yılları arasındaki</w:t>
      </w:r>
      <w:r>
        <w:t xml:space="preserve"> mezunları ile yapılan bir çalışmada mezunlar bölüm </w:t>
      </w:r>
      <w:r>
        <w:lastRenderedPageBreak/>
        <w:t>müfredatının güncelleşti</w:t>
      </w:r>
      <w:r w:rsidR="003B050A">
        <w:t>rilerek, teori ve uygulamaarasındaki boşluğun azaltılıp</w:t>
      </w:r>
      <w:r w:rsidR="001A30F5">
        <w:t xml:space="preserve"> kaldırılması gerektiğini </w:t>
      </w:r>
      <w:r w:rsidR="001A30F5" w:rsidRPr="00813857">
        <w:t>ifade etm</w:t>
      </w:r>
      <w:r w:rsidR="00813857" w:rsidRPr="00813857">
        <w:t>iştir</w:t>
      </w:r>
      <w:r w:rsidR="001A30F5">
        <w:t xml:space="preserve"> (Noko ve Nglube, 2013, s. XXI-14).</w:t>
      </w:r>
    </w:p>
    <w:p w:rsidR="00813857" w:rsidRDefault="00D536A6" w:rsidP="00725586">
      <w:pPr>
        <w:spacing w:after="0"/>
      </w:pPr>
      <w:r>
        <w:t>Amerika'dak</w:t>
      </w:r>
      <w:r w:rsidR="003B050A">
        <w:t>i Kütüphanecilik ve Bilgibilim B</w:t>
      </w:r>
      <w:r>
        <w:t xml:space="preserve">ölümlerinde verilen </w:t>
      </w:r>
      <w:r w:rsidR="003B050A">
        <w:t>Bilgi T</w:t>
      </w:r>
      <w:r>
        <w:t xml:space="preserve">eknolojileri derslerinin ihtiyacı karşılayıp karşılamadığını sorgulayan bir araştırmada, teori ve pratiğin </w:t>
      </w:r>
      <w:r w:rsidR="004C4C1D">
        <w:t>bir arada</w:t>
      </w:r>
      <w:r>
        <w:t xml:space="preserve"> götürülmesine duyul</w:t>
      </w:r>
      <w:r w:rsidR="00227A76">
        <w:t>an ihtiyaç dile getirilmektedir (Singh ve Mahra, 2013, s. 219-231).</w:t>
      </w:r>
    </w:p>
    <w:p w:rsidR="00F7572E" w:rsidRDefault="00F7572E" w:rsidP="00725586">
      <w:pPr>
        <w:spacing w:after="0"/>
        <w:rPr>
          <w:b/>
        </w:rPr>
      </w:pPr>
    </w:p>
    <w:p w:rsidR="00427CB7" w:rsidRPr="00F7572E" w:rsidRDefault="00427CB7" w:rsidP="00725586">
      <w:pPr>
        <w:spacing w:after="0"/>
        <w:rPr>
          <w:b/>
          <w:szCs w:val="24"/>
        </w:rPr>
      </w:pPr>
      <w:r w:rsidRPr="00F7572E">
        <w:rPr>
          <w:b/>
          <w:szCs w:val="24"/>
        </w:rPr>
        <w:t>Türkiye'deki BBY Stajları</w:t>
      </w:r>
    </w:p>
    <w:p w:rsidR="00860F71" w:rsidRDefault="00860F71" w:rsidP="00725586">
      <w:pPr>
        <w:spacing w:after="0"/>
      </w:pPr>
      <w:r>
        <w:t xml:space="preserve">Ankara Üniversitesi BBY stajları biri halk kütüphanesi, diğeri ise araştırma/kurum/özel kütüphaneler veya arşiv/dokümantasyon merkezinde </w:t>
      </w:r>
      <w:r w:rsidR="001754D0">
        <w:t>yapılıp,</w:t>
      </w:r>
      <w:r w:rsidR="00F82223">
        <w:t xml:space="preserve"> yaz döneminde gerçekleştirilir</w:t>
      </w:r>
      <w:r w:rsidR="00CB630C">
        <w:t xml:space="preserve"> (</w:t>
      </w:r>
      <w:r w:rsidR="0013024E">
        <w:t>Ankara Üniversitesi</w:t>
      </w:r>
      <w:r w:rsidR="00894017">
        <w:t xml:space="preserve"> Bilgi ve Belge Yönetimi Bölümü, 2014</w:t>
      </w:r>
      <w:r w:rsidR="00CB630C">
        <w:t>)</w:t>
      </w:r>
      <w:r w:rsidR="00F82223">
        <w:t>.</w:t>
      </w:r>
    </w:p>
    <w:p w:rsidR="00E6151F" w:rsidRDefault="002F2F90" w:rsidP="00725586">
      <w:pPr>
        <w:spacing w:after="0"/>
      </w:pPr>
      <w:r>
        <w:t>Atatürk Üniversitesi</w:t>
      </w:r>
      <w:r w:rsidR="00E6151F">
        <w:t>nde bir BBY mezunu uzmanın bulunduğu kütüphane ya da arşivde yapılan bir zorunlu staj bulunmakta; yaz döneminde gerçekleştirilmektedir (</w:t>
      </w:r>
      <w:r w:rsidR="00B842FA">
        <w:t xml:space="preserve">Hüseyin Odabaş ile </w:t>
      </w:r>
      <w:r w:rsidR="00E6151F">
        <w:t>yapılan görüşme</w:t>
      </w:r>
      <w:r w:rsidR="0013024E">
        <w:t>, 201</w:t>
      </w:r>
      <w:r w:rsidR="00D17239">
        <w:t>4</w:t>
      </w:r>
      <w:r w:rsidR="00E6151F">
        <w:t>)</w:t>
      </w:r>
      <w:r w:rsidR="00F37178">
        <w:t>.</w:t>
      </w:r>
    </w:p>
    <w:p w:rsidR="00364DE5" w:rsidRDefault="00E6151F" w:rsidP="00725586">
      <w:pPr>
        <w:spacing w:after="0"/>
      </w:pPr>
      <w:r>
        <w:t xml:space="preserve"> Hacettepe Üniversitesi</w:t>
      </w:r>
      <w:r w:rsidR="00364DE5">
        <w:t xml:space="preserve"> BBY Bölümünde 3. sınıfın sonunda yapılan</w:t>
      </w:r>
      <w:r w:rsidR="00932575">
        <w:t xml:space="preserve"> bir staj uygulaması mevcuttu. Yapılan son düzenleme ile staj uygulaması 3. sınıfın 2. yarıyılında haftanın 2 günü okula gidip, diğer günlerde staj yapılarak gerçekleştirilecektir (Tolga Çakmak ile yapılan görüşme</w:t>
      </w:r>
      <w:r w:rsidR="0013024E">
        <w:t>, 201</w:t>
      </w:r>
      <w:r w:rsidR="00D17239">
        <w:t>4</w:t>
      </w:r>
      <w:r w:rsidR="00932575">
        <w:t>)</w:t>
      </w:r>
      <w:r w:rsidR="00F82223">
        <w:t>.</w:t>
      </w:r>
    </w:p>
    <w:p w:rsidR="00EA1AA2" w:rsidRDefault="00EA1AA2" w:rsidP="00725586">
      <w:pPr>
        <w:spacing w:after="0"/>
      </w:pPr>
      <w:r>
        <w:t>İstanbul Üniversitesinde biri üniversite kütüphanesi, diğeri ise kurum arşivinde yapılmak üzere iki adet zorunlu staj uygulaması mevcuttur. Bu staj</w:t>
      </w:r>
      <w:r w:rsidR="00F82223">
        <w:t>lar yaz döneminde yapılmaktadır</w:t>
      </w:r>
      <w:r>
        <w:t xml:space="preserve"> (</w:t>
      </w:r>
      <w:r w:rsidR="00D17239">
        <w:t>İstanbul Üniversitesi</w:t>
      </w:r>
      <w:r w:rsidR="00894017">
        <w:t xml:space="preserve"> Eğitimde Yapılanma ve Yenilenme Bilgi Sistemi, 2014</w:t>
      </w:r>
      <w:r>
        <w:t>)</w:t>
      </w:r>
      <w:r w:rsidR="00F82223">
        <w:t>.</w:t>
      </w:r>
    </w:p>
    <w:p w:rsidR="00E12930" w:rsidRDefault="00E12930" w:rsidP="00725586">
      <w:pPr>
        <w:spacing w:after="0"/>
      </w:pPr>
      <w:r>
        <w:t>Marmara Üniversitesinde zorunlu olarak 2 staj yapılmaktadır. Bu stajların her ikisi de arşiv veya kütüphanede ya da biri arşiv diğeri kütüphanede çalışarak yapılabilir.</w:t>
      </w:r>
      <w:r w:rsidR="00E6151F">
        <w:t xml:space="preserve"> St</w:t>
      </w:r>
      <w:r w:rsidR="00C3672D">
        <w:t xml:space="preserve">ajlar, </w:t>
      </w:r>
      <w:r w:rsidR="00E6151F">
        <w:t xml:space="preserve">yaz döneminde yapılmaktadır </w:t>
      </w:r>
      <w:r w:rsidR="00D066B7">
        <w:t>(</w:t>
      </w:r>
      <w:r>
        <w:t>Varol Saydam ile yapılan görüşme</w:t>
      </w:r>
      <w:r w:rsidR="00D066B7">
        <w:t>, 2014</w:t>
      </w:r>
      <w:r>
        <w:t>)</w:t>
      </w:r>
      <w:r w:rsidR="00F82223">
        <w:t>.</w:t>
      </w:r>
    </w:p>
    <w:p w:rsidR="00F37178" w:rsidRDefault="00F37178" w:rsidP="00725586">
      <w:pPr>
        <w:spacing w:after="0"/>
      </w:pPr>
      <w:r>
        <w:t>Yakındoğu Üniversitesinde stajlar, BBY mezunu en az bir uzmanın bulunduğu kütüphane ve arşivlerde yaz döneminde gerçekleştirilmektedir (Mustafa Sağsan ile yapılan görüşme</w:t>
      </w:r>
      <w:r w:rsidR="00D066B7">
        <w:t>, 2014</w:t>
      </w:r>
      <w:r>
        <w:t>).</w:t>
      </w:r>
    </w:p>
    <w:p w:rsidR="00FB0139" w:rsidRDefault="00FB0139" w:rsidP="00725586">
      <w:pPr>
        <w:spacing w:after="0"/>
      </w:pPr>
    </w:p>
    <w:p w:rsidR="00FB0139" w:rsidRDefault="00640B76" w:rsidP="00725586">
      <w:pPr>
        <w:spacing w:after="0"/>
        <w:rPr>
          <w:rFonts w:cs="Times New Roman"/>
          <w:szCs w:val="24"/>
        </w:rPr>
      </w:pPr>
      <w:r>
        <w:t>Yurtdışındaki BBY Bölümlerinin staj uygulamalarına bakıldığında şu hususlar dikkati çekmektedir.</w:t>
      </w:r>
      <w:r w:rsidR="000F460D">
        <w:t xml:space="preserve"> Lund Üniversitesinde arşiv stajları eğitim-öğretim dönemi içerisinde derslerle birlikte götürülerek yapılmaktadır (</w:t>
      </w:r>
      <w:r w:rsidR="00190E07">
        <w:t xml:space="preserve">Lund </w:t>
      </w:r>
      <w:r w:rsidR="000F40E0">
        <w:t>University</w:t>
      </w:r>
      <w:r w:rsidR="00190E07">
        <w:t>, 2014</w:t>
      </w:r>
      <w:r w:rsidR="000F460D">
        <w:rPr>
          <w:rFonts w:cs="Times New Roman"/>
          <w:szCs w:val="24"/>
        </w:rPr>
        <w:t xml:space="preserve">). </w:t>
      </w:r>
      <w:r w:rsidR="00D93339">
        <w:rPr>
          <w:rFonts w:cs="Times New Roman"/>
          <w:szCs w:val="24"/>
        </w:rPr>
        <w:t>Manchester Metropolitan Üniversitesinde</w:t>
      </w:r>
      <w:r w:rsidR="00EA4B96">
        <w:rPr>
          <w:rFonts w:cs="Times New Roman"/>
          <w:szCs w:val="24"/>
        </w:rPr>
        <w:t xml:space="preserve"> Kütüphanecilik ve Bilg</w:t>
      </w:r>
      <w:r w:rsidR="00E6151F">
        <w:rPr>
          <w:rFonts w:cs="Times New Roman"/>
          <w:szCs w:val="24"/>
        </w:rPr>
        <w:t>ibilim olarak adlandırıp,</w:t>
      </w:r>
      <w:r w:rsidR="00D93339">
        <w:rPr>
          <w:rFonts w:cs="Times New Roman"/>
          <w:szCs w:val="24"/>
        </w:rPr>
        <w:t xml:space="preserve"> BBY</w:t>
      </w:r>
      <w:r w:rsidR="00EA4B96">
        <w:rPr>
          <w:rFonts w:cs="Times New Roman"/>
          <w:szCs w:val="24"/>
        </w:rPr>
        <w:t xml:space="preserve"> Bölümünün muadili olarak değerlendirebileceğimiz bölümdeBBY eğitim</w:t>
      </w:r>
      <w:r w:rsidR="007A5A6B">
        <w:rPr>
          <w:rFonts w:cs="Times New Roman"/>
          <w:szCs w:val="24"/>
        </w:rPr>
        <w:t>i</w:t>
      </w:r>
      <w:r w:rsidR="00D93339">
        <w:rPr>
          <w:rFonts w:cs="Times New Roman"/>
          <w:szCs w:val="24"/>
        </w:rPr>
        <w:t xml:space="preserve"> yüksek lisans derecesinde verilmektedir. Eğitim müfredatında Araştırma ve Uygulama adı ile okutulan ders kapsamında belirli bir dönem araştırma yapıldıktan sonra, kurumlarda staj türünden uygulamalar yapılmaktadır (</w:t>
      </w:r>
      <w:r w:rsidR="000F40E0">
        <w:rPr>
          <w:rFonts w:cs="Times New Roman"/>
          <w:szCs w:val="24"/>
        </w:rPr>
        <w:t>Manchester Metropolitan University, 2014</w:t>
      </w:r>
      <w:r w:rsidR="00D93339">
        <w:rPr>
          <w:rFonts w:cs="Times New Roman"/>
          <w:szCs w:val="24"/>
        </w:rPr>
        <w:t xml:space="preserve">). </w:t>
      </w:r>
    </w:p>
    <w:p w:rsidR="00433FEB" w:rsidRDefault="00D93339" w:rsidP="00433FEB">
      <w:pPr>
        <w:spacing w:after="0"/>
        <w:rPr>
          <w:rFonts w:cs="Times New Roman"/>
          <w:szCs w:val="24"/>
        </w:rPr>
      </w:pPr>
      <w:r>
        <w:rPr>
          <w:rFonts w:cs="Times New Roman"/>
          <w:szCs w:val="24"/>
        </w:rPr>
        <w:lastRenderedPageBreak/>
        <w:t xml:space="preserve">Rhode </w:t>
      </w:r>
      <w:r w:rsidR="00FB0139">
        <w:rPr>
          <w:rFonts w:cs="Times New Roman"/>
          <w:szCs w:val="24"/>
        </w:rPr>
        <w:tab/>
      </w:r>
      <w:r>
        <w:rPr>
          <w:rFonts w:cs="Times New Roman"/>
          <w:szCs w:val="24"/>
        </w:rPr>
        <w:t>Island Üniversitesinde de yüksek lisans düzeyinde eğitim ver</w:t>
      </w:r>
      <w:r w:rsidR="00EA4B96">
        <w:rPr>
          <w:rFonts w:cs="Times New Roman"/>
          <w:szCs w:val="24"/>
        </w:rPr>
        <w:t>en Kütüphanecilik ve BilgibilimB</w:t>
      </w:r>
      <w:r>
        <w:rPr>
          <w:rFonts w:cs="Times New Roman"/>
          <w:szCs w:val="24"/>
        </w:rPr>
        <w:t>ölüm</w:t>
      </w:r>
      <w:r w:rsidR="00EA4B96">
        <w:rPr>
          <w:rFonts w:cs="Times New Roman"/>
          <w:szCs w:val="24"/>
        </w:rPr>
        <w:t>ün</w:t>
      </w:r>
      <w:r>
        <w:rPr>
          <w:rFonts w:cs="Times New Roman"/>
          <w:szCs w:val="24"/>
        </w:rPr>
        <w:t>de staj uygulaması mevcuttur. Staj uygulaması eğitim-öğretimi dönemi içerisinde derslerle bir</w:t>
      </w:r>
      <w:r w:rsidR="00EA4B96">
        <w:rPr>
          <w:rFonts w:cs="Times New Roman"/>
          <w:szCs w:val="24"/>
        </w:rPr>
        <w:t>likte yürütülerek yapılmaktadır (</w:t>
      </w:r>
      <w:r w:rsidR="000F40E0">
        <w:rPr>
          <w:rFonts w:cs="Times New Roman"/>
          <w:szCs w:val="24"/>
        </w:rPr>
        <w:t>Rhode Island University, 2014</w:t>
      </w:r>
      <w:r w:rsidR="00EA4B96">
        <w:rPr>
          <w:rFonts w:cs="Times New Roman"/>
          <w:szCs w:val="24"/>
        </w:rPr>
        <w:t>). Bu adreste ise staj yapanların stajları hakkında edindikleri genel izlenimler bulunmaktadır (</w:t>
      </w:r>
      <w:r w:rsidR="00D4235C" w:rsidRPr="00D4235C">
        <w:rPr>
          <w:rFonts w:eastAsia="Times New Roman" w:cs="Times New Roman"/>
          <w:bCs/>
          <w:color w:val="000000"/>
          <w:szCs w:val="24"/>
          <w:lang w:eastAsia="tr-TR"/>
        </w:rPr>
        <w:t>Library Internships and Professional Field Experiences</w:t>
      </w:r>
      <w:r w:rsidR="00D4235C">
        <w:rPr>
          <w:rFonts w:eastAsia="Times New Roman" w:cs="Times New Roman"/>
          <w:bCs/>
          <w:color w:val="000000"/>
          <w:szCs w:val="24"/>
          <w:lang w:eastAsia="tr-TR"/>
        </w:rPr>
        <w:t>, 2014</w:t>
      </w:r>
      <w:r w:rsidR="00EA4B96">
        <w:rPr>
          <w:rFonts w:cs="Times New Roman"/>
          <w:szCs w:val="24"/>
        </w:rPr>
        <w:t>).</w:t>
      </w:r>
    </w:p>
    <w:p w:rsidR="00FB0139" w:rsidRDefault="00520DCE" w:rsidP="00433FEB">
      <w:pPr>
        <w:spacing w:after="0"/>
        <w:rPr>
          <w:rFonts w:cs="Times New Roman"/>
          <w:szCs w:val="24"/>
        </w:rPr>
      </w:pPr>
      <w:r>
        <w:rPr>
          <w:rFonts w:cs="Times New Roman"/>
          <w:szCs w:val="24"/>
        </w:rPr>
        <w:t xml:space="preserve">British Columbia Üniversitesinde yüksek lisans düzeyinde eğitim veren Kütüphane&amp;Arşiv ve Bilgibilimi Okulu mevcuttur. Bu okulda bir dönem içerisinde 3 ay süren staj uygulamaları </w:t>
      </w:r>
      <w:r w:rsidR="00F7572E">
        <w:rPr>
          <w:rFonts w:cs="Times New Roman"/>
          <w:szCs w:val="24"/>
        </w:rPr>
        <w:t>bulunmaktadır</w:t>
      </w:r>
      <w:r>
        <w:rPr>
          <w:rFonts w:cs="Times New Roman"/>
          <w:szCs w:val="24"/>
        </w:rPr>
        <w:t xml:space="preserve"> (</w:t>
      </w:r>
      <w:r w:rsidR="00FE0D7E">
        <w:rPr>
          <w:rFonts w:cs="Times New Roman"/>
          <w:szCs w:val="24"/>
        </w:rPr>
        <w:t>British Columbia University, 2014</w:t>
      </w:r>
      <w:r>
        <w:rPr>
          <w:rFonts w:cs="Times New Roman"/>
          <w:szCs w:val="24"/>
        </w:rPr>
        <w:t>). Yukarıda verilen örneklerden de anlaşılacağı üzere yurtdışında stajlar saha çalışmaları olarak gerçekleşmekte ve eğitim-öğretim dönemi içerisinde derslerle birlikte yürütülmektedir.</w:t>
      </w:r>
    </w:p>
    <w:p w:rsidR="00433FEB" w:rsidRDefault="00433FEB" w:rsidP="00433FEB">
      <w:pPr>
        <w:spacing w:after="0"/>
        <w:rPr>
          <w:rFonts w:cs="Times New Roman"/>
          <w:b/>
          <w:szCs w:val="24"/>
        </w:rPr>
      </w:pPr>
    </w:p>
    <w:p w:rsidR="00725586" w:rsidRPr="00A2199D" w:rsidRDefault="00961916" w:rsidP="00725586">
      <w:pPr>
        <w:spacing w:after="0"/>
        <w:rPr>
          <w:rFonts w:cs="Times New Roman"/>
          <w:b/>
          <w:szCs w:val="24"/>
        </w:rPr>
      </w:pPr>
      <w:r w:rsidRPr="00A2199D">
        <w:rPr>
          <w:rFonts w:cs="Times New Roman"/>
          <w:b/>
          <w:szCs w:val="24"/>
        </w:rPr>
        <w:t>BBY Mezunlarının Stajlar Hakkındaki Düşünceleri</w:t>
      </w:r>
    </w:p>
    <w:p w:rsidR="00EA1AA2" w:rsidRDefault="00961916" w:rsidP="00725586">
      <w:pPr>
        <w:spacing w:after="0"/>
        <w:rPr>
          <w:rFonts w:cs="Times New Roman"/>
          <w:szCs w:val="24"/>
        </w:rPr>
      </w:pPr>
      <w:r>
        <w:rPr>
          <w:rFonts w:cs="Times New Roman"/>
          <w:szCs w:val="24"/>
        </w:rPr>
        <w:t>Türkiye'deki BBY mezunları genelde stajlarını kütüphane ya da arşiv üzerine yapmaktadır. 2002 yılında BBY adını alarak tek bir biçime kavuşan bölümde ilk mez</w:t>
      </w:r>
      <w:r w:rsidR="00E6151F">
        <w:rPr>
          <w:rFonts w:cs="Times New Roman"/>
          <w:szCs w:val="24"/>
        </w:rPr>
        <w:t>unlar 2006 yılında verilmiştir. Çalışmanın evreni, Türkiye'deki BBY Bölümlerinden mezun olanlar oluşturmaktadır. Örneklem olarak</w:t>
      </w:r>
      <w:r w:rsidR="00451923">
        <w:rPr>
          <w:rFonts w:cs="Times New Roman"/>
          <w:szCs w:val="24"/>
        </w:rPr>
        <w:t>,</w:t>
      </w:r>
      <w:r w:rsidR="00E6151F">
        <w:rPr>
          <w:rFonts w:cs="Times New Roman"/>
          <w:szCs w:val="24"/>
        </w:rPr>
        <w:t xml:space="preserve"> en az 18 aydır bir kütüphane ya da arşivde çalışıp, stajını kütüphanede çalışıyorsa kütüphane, arşivde çalışıyorsa arşiv üzerine yapan 2006 ve sonrasında mezun olanlar seçilmiştir. Bu niteliklerde katılımcılar aranırken; rastgele seçilen kurumların yönetici ya da ilgilileriyle yapılan yazışmalar sonucunda anket katılımcıları belirlenmiştir. </w:t>
      </w:r>
      <w:r w:rsidR="00351997">
        <w:rPr>
          <w:rFonts w:cs="Times New Roman"/>
          <w:szCs w:val="24"/>
        </w:rPr>
        <w:t>Ankete katılan</w:t>
      </w:r>
      <w:r w:rsidR="00E6151F">
        <w:rPr>
          <w:rFonts w:cs="Times New Roman"/>
          <w:szCs w:val="24"/>
        </w:rPr>
        <w:t xml:space="preserve">ların demografik </w:t>
      </w:r>
      <w:r w:rsidR="00E91B00">
        <w:rPr>
          <w:rFonts w:cs="Times New Roman"/>
          <w:szCs w:val="24"/>
        </w:rPr>
        <w:t xml:space="preserve">ve diğer </w:t>
      </w:r>
      <w:r w:rsidR="00E6151F">
        <w:rPr>
          <w:rFonts w:cs="Times New Roman"/>
          <w:szCs w:val="24"/>
        </w:rPr>
        <w:t>bilgileri şöyle belirtilebilir:</w:t>
      </w:r>
    </w:p>
    <w:p w:rsidR="00684A64" w:rsidRDefault="00684A64" w:rsidP="00725586">
      <w:pPr>
        <w:spacing w:after="0"/>
        <w:rPr>
          <w:rFonts w:cs="Times New Roman"/>
          <w:szCs w:val="24"/>
        </w:rPr>
      </w:pPr>
    </w:p>
    <w:p w:rsidR="00E91B00" w:rsidRDefault="00E91B00" w:rsidP="00725586">
      <w:pPr>
        <w:pStyle w:val="ListeParagraf"/>
        <w:numPr>
          <w:ilvl w:val="0"/>
          <w:numId w:val="1"/>
        </w:numPr>
        <w:spacing w:after="0"/>
        <w:ind w:left="714" w:hanging="357"/>
        <w:rPr>
          <w:rFonts w:cs="Times New Roman"/>
          <w:szCs w:val="24"/>
        </w:rPr>
      </w:pPr>
      <w:r>
        <w:rPr>
          <w:rFonts w:cs="Times New Roman"/>
          <w:szCs w:val="24"/>
        </w:rPr>
        <w:t xml:space="preserve">Ankete 21 kişi katılmış olup, 14 </w:t>
      </w:r>
      <w:r w:rsidRPr="00AD3770">
        <w:rPr>
          <w:rFonts w:cs="Times New Roman"/>
          <w:szCs w:val="24"/>
        </w:rPr>
        <w:t>kişi kadın</w:t>
      </w:r>
      <w:r>
        <w:rPr>
          <w:rFonts w:cs="Times New Roman"/>
          <w:szCs w:val="24"/>
        </w:rPr>
        <w:t>, 7 kişi de erkektir.</w:t>
      </w:r>
    </w:p>
    <w:p w:rsidR="00E91B00" w:rsidRDefault="00E91B00" w:rsidP="00725586">
      <w:pPr>
        <w:pStyle w:val="ListeParagraf"/>
        <w:numPr>
          <w:ilvl w:val="0"/>
          <w:numId w:val="1"/>
        </w:numPr>
        <w:spacing w:after="0"/>
        <w:ind w:left="714" w:hanging="357"/>
        <w:rPr>
          <w:rFonts w:cs="Times New Roman"/>
          <w:szCs w:val="24"/>
        </w:rPr>
      </w:pPr>
      <w:r w:rsidRPr="00E91B00">
        <w:rPr>
          <w:rFonts w:cs="Times New Roman"/>
          <w:szCs w:val="24"/>
        </w:rPr>
        <w:t>14 kişi 26-30, 2 kişi 31-40, 5 kişi ise 18-25 yaş aralığındadır</w:t>
      </w:r>
      <w:r>
        <w:rPr>
          <w:rFonts w:cs="Times New Roman"/>
          <w:szCs w:val="24"/>
        </w:rPr>
        <w:t>.</w:t>
      </w:r>
    </w:p>
    <w:p w:rsidR="00E91B00" w:rsidRDefault="00E91B00" w:rsidP="00725586">
      <w:pPr>
        <w:pStyle w:val="ListeParagraf"/>
        <w:numPr>
          <w:ilvl w:val="0"/>
          <w:numId w:val="1"/>
        </w:numPr>
        <w:spacing w:after="0"/>
        <w:ind w:left="714" w:hanging="357"/>
        <w:rPr>
          <w:rFonts w:cs="Times New Roman"/>
          <w:szCs w:val="24"/>
        </w:rPr>
      </w:pPr>
      <w:r w:rsidRPr="00E91B00">
        <w:rPr>
          <w:rFonts w:cs="Times New Roman"/>
          <w:szCs w:val="24"/>
        </w:rPr>
        <w:t>1 kişi Doktora, 4 kişi Yüksek Lisans, 16 kişi Lisans mezunudur</w:t>
      </w:r>
      <w:r>
        <w:rPr>
          <w:rFonts w:cs="Times New Roman"/>
          <w:szCs w:val="24"/>
        </w:rPr>
        <w:t>.</w:t>
      </w:r>
    </w:p>
    <w:p w:rsidR="00E91B00" w:rsidRPr="00E91B00" w:rsidRDefault="00E91B00" w:rsidP="00725586">
      <w:pPr>
        <w:pStyle w:val="ListeParagraf"/>
        <w:numPr>
          <w:ilvl w:val="0"/>
          <w:numId w:val="1"/>
        </w:numPr>
        <w:spacing w:after="0"/>
        <w:ind w:left="714" w:hanging="357"/>
        <w:rPr>
          <w:rFonts w:cs="Times New Roman"/>
          <w:szCs w:val="24"/>
        </w:rPr>
      </w:pPr>
      <w:r w:rsidRPr="00E91B00">
        <w:rPr>
          <w:rFonts w:cs="Times New Roman"/>
          <w:szCs w:val="24"/>
        </w:rPr>
        <w:t>14 kişi kütüphaneci, 7 kişi arşivci konumunda çalışmaktadır.</w:t>
      </w:r>
    </w:p>
    <w:p w:rsidR="00E91B00" w:rsidRDefault="00E91B00" w:rsidP="00725586">
      <w:pPr>
        <w:pStyle w:val="ListeParagraf"/>
        <w:numPr>
          <w:ilvl w:val="0"/>
          <w:numId w:val="1"/>
        </w:numPr>
        <w:spacing w:after="0"/>
        <w:ind w:left="714" w:hanging="357"/>
        <w:rPr>
          <w:rFonts w:cs="Times New Roman"/>
          <w:szCs w:val="24"/>
        </w:rPr>
      </w:pPr>
      <w:r w:rsidRPr="00E91B00">
        <w:rPr>
          <w:rFonts w:cs="Times New Roman"/>
          <w:szCs w:val="24"/>
        </w:rPr>
        <w:t>12 kişi kamu, 9 kişi i</w:t>
      </w:r>
      <w:r>
        <w:rPr>
          <w:rFonts w:cs="Times New Roman"/>
          <w:szCs w:val="24"/>
        </w:rPr>
        <w:t>se özel kurumlarda görev yapmaktadır.</w:t>
      </w:r>
    </w:p>
    <w:p w:rsidR="00DC2ECB" w:rsidRPr="00E91B00" w:rsidRDefault="00FB0139" w:rsidP="00725586">
      <w:pPr>
        <w:pStyle w:val="ListeParagraf"/>
        <w:numPr>
          <w:ilvl w:val="0"/>
          <w:numId w:val="1"/>
        </w:numPr>
        <w:spacing w:after="0"/>
        <w:ind w:left="714" w:hanging="357"/>
        <w:rPr>
          <w:rFonts w:cs="Times New Roman"/>
          <w:szCs w:val="24"/>
        </w:rPr>
      </w:pPr>
      <w:r w:rsidRPr="00E91B00">
        <w:rPr>
          <w:rFonts w:cs="Times New Roman"/>
          <w:szCs w:val="24"/>
        </w:rPr>
        <w:t>11 kişi İstanbul, 6 kişi Marmara, 4 kişi ise Hacettepe Üniversitesinden mezun olmuştur.</w:t>
      </w:r>
    </w:p>
    <w:p w:rsidR="00E91B00" w:rsidRDefault="00E91B00" w:rsidP="00725586">
      <w:pPr>
        <w:pStyle w:val="ListeParagraf"/>
        <w:numPr>
          <w:ilvl w:val="0"/>
          <w:numId w:val="1"/>
        </w:numPr>
        <w:spacing w:after="0"/>
        <w:rPr>
          <w:rFonts w:cs="Times New Roman"/>
          <w:szCs w:val="24"/>
        </w:rPr>
      </w:pPr>
      <w:r w:rsidRPr="00E91B00">
        <w:rPr>
          <w:rFonts w:cs="Times New Roman"/>
          <w:szCs w:val="24"/>
        </w:rPr>
        <w:t xml:space="preserve">11 kişi stajını kamu, 10 kişi de özel kurumlarda yapmıştır. Kamu kurumlarında staj yapan 4 kişi şu anda özel, 7 kişi ise kamu kurumlarında çalışmaktadır. Stajını özel </w:t>
      </w:r>
      <w:r w:rsidR="007A5A6B" w:rsidRPr="00E91B00">
        <w:rPr>
          <w:rFonts w:cs="Times New Roman"/>
          <w:szCs w:val="24"/>
        </w:rPr>
        <w:t>kurumlarda yapan</w:t>
      </w:r>
      <w:r w:rsidRPr="00E91B00">
        <w:rPr>
          <w:rFonts w:cs="Times New Roman"/>
          <w:szCs w:val="24"/>
        </w:rPr>
        <w:t xml:space="preserve"> 5 kişi kamu, diğer 5 kişi ise özel kurumlarda görev yapmaktadır</w:t>
      </w:r>
      <w:r>
        <w:rPr>
          <w:rFonts w:cs="Times New Roman"/>
          <w:szCs w:val="24"/>
        </w:rPr>
        <w:t>.</w:t>
      </w:r>
    </w:p>
    <w:p w:rsidR="00CB106B" w:rsidRDefault="00CB106B" w:rsidP="00725586">
      <w:pPr>
        <w:spacing w:after="0"/>
        <w:rPr>
          <w:rFonts w:cs="Times New Roman"/>
          <w:szCs w:val="24"/>
        </w:rPr>
      </w:pPr>
    </w:p>
    <w:p w:rsidR="00CB106B" w:rsidRDefault="00CB106B" w:rsidP="00725586">
      <w:pPr>
        <w:spacing w:after="0"/>
        <w:rPr>
          <w:rFonts w:cs="Times New Roman"/>
          <w:szCs w:val="24"/>
        </w:rPr>
      </w:pPr>
      <w:r>
        <w:rPr>
          <w:rFonts w:cs="Times New Roman"/>
          <w:szCs w:val="24"/>
        </w:rPr>
        <w:t>Ankete katılanlara 14 soru sorulmuş olup, alınan cevaplar aşağıdaki şekillerle belirtilmektedir.</w:t>
      </w:r>
    </w:p>
    <w:p w:rsidR="00CB106B" w:rsidRDefault="00CB106B" w:rsidP="00CB106B">
      <w:pPr>
        <w:spacing w:after="0"/>
        <w:rPr>
          <w:rFonts w:cs="Times New Roman"/>
          <w:szCs w:val="24"/>
        </w:rPr>
      </w:pPr>
    </w:p>
    <w:p w:rsidR="00CB106B" w:rsidRPr="00CB106B" w:rsidRDefault="00CB106B" w:rsidP="00CB106B">
      <w:pPr>
        <w:spacing w:after="0"/>
        <w:rPr>
          <w:rFonts w:cs="Times New Roman"/>
          <w:szCs w:val="24"/>
        </w:rPr>
      </w:pPr>
      <w:r w:rsidRPr="00CB106B">
        <w:rPr>
          <w:rFonts w:cs="Times New Roman"/>
          <w:noProof/>
          <w:szCs w:val="24"/>
          <w:lang w:eastAsia="tr-TR"/>
        </w:rPr>
        <w:drawing>
          <wp:inline distT="0" distB="0" distL="0" distR="0">
            <wp:extent cx="5377180" cy="1539240"/>
            <wp:effectExtent l="19050" t="0" r="13970" b="3810"/>
            <wp:docPr id="4"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6151F" w:rsidRDefault="00CB106B" w:rsidP="00CB106B">
      <w:pPr>
        <w:spacing w:after="0"/>
        <w:rPr>
          <w:sz w:val="20"/>
        </w:rPr>
      </w:pPr>
      <w:r>
        <w:tab/>
      </w:r>
      <w:r w:rsidRPr="00CB106B">
        <w:rPr>
          <w:sz w:val="20"/>
        </w:rPr>
        <w:t>Şekil 1. "Staj süresi bakımından meslek hayatımda yapacağım işler hakkında fikir verebilecek nitelikteydi" sorusuna verilen cevaplar.</w:t>
      </w:r>
    </w:p>
    <w:p w:rsidR="00CB106B" w:rsidRDefault="00CB106B" w:rsidP="002F2F90">
      <w:pPr>
        <w:rPr>
          <w:sz w:val="20"/>
        </w:rPr>
      </w:pPr>
    </w:p>
    <w:p w:rsidR="00CB106B" w:rsidRDefault="00CB106B" w:rsidP="00CB106B">
      <w:pPr>
        <w:spacing w:after="0"/>
      </w:pPr>
      <w:r w:rsidRPr="00CB106B">
        <w:rPr>
          <w:noProof/>
          <w:lang w:eastAsia="tr-TR"/>
        </w:rPr>
        <w:drawing>
          <wp:inline distT="0" distB="0" distL="0" distR="0">
            <wp:extent cx="5427345" cy="1485900"/>
            <wp:effectExtent l="19050" t="0" r="20955" b="0"/>
            <wp:docPr id="5"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B106B" w:rsidRDefault="00CB106B" w:rsidP="00CB106B">
      <w:pPr>
        <w:spacing w:after="0"/>
        <w:rPr>
          <w:sz w:val="20"/>
        </w:rPr>
      </w:pPr>
      <w:r>
        <w:rPr>
          <w:sz w:val="20"/>
        </w:rPr>
        <w:tab/>
      </w:r>
      <w:r w:rsidRPr="00CB106B">
        <w:rPr>
          <w:sz w:val="20"/>
        </w:rPr>
        <w:t>Şekil 2. "Staj, süresi bakımından beni mesleğe hazırlayabilecek nitelikteydi" sorusuna verilen cevaplar.</w:t>
      </w:r>
    </w:p>
    <w:p w:rsidR="00D606AF" w:rsidRDefault="00D606AF" w:rsidP="00CB106B">
      <w:pPr>
        <w:spacing w:after="0"/>
        <w:rPr>
          <w:sz w:val="20"/>
        </w:rPr>
      </w:pPr>
    </w:p>
    <w:p w:rsidR="00CB106B" w:rsidRDefault="00CB106B" w:rsidP="00CB106B">
      <w:pPr>
        <w:spacing w:after="0"/>
        <w:rPr>
          <w:sz w:val="20"/>
        </w:rPr>
      </w:pPr>
    </w:p>
    <w:p w:rsidR="00CB106B" w:rsidRDefault="00CB106B" w:rsidP="00CB106B">
      <w:pPr>
        <w:spacing w:after="0"/>
      </w:pPr>
      <w:r w:rsidRPr="00CB106B">
        <w:rPr>
          <w:noProof/>
          <w:lang w:eastAsia="tr-TR"/>
        </w:rPr>
        <w:drawing>
          <wp:inline distT="0" distB="0" distL="0" distR="0">
            <wp:extent cx="5431155" cy="1539240"/>
            <wp:effectExtent l="19050" t="0" r="17145" b="3810"/>
            <wp:docPr id="6"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B106B" w:rsidRDefault="00CB106B" w:rsidP="00CB106B">
      <w:pPr>
        <w:spacing w:after="0"/>
        <w:rPr>
          <w:sz w:val="20"/>
        </w:rPr>
      </w:pPr>
      <w:r>
        <w:tab/>
      </w:r>
      <w:r w:rsidRPr="00CB106B">
        <w:rPr>
          <w:sz w:val="20"/>
        </w:rPr>
        <w:t xml:space="preserve">Şekil 3. </w:t>
      </w:r>
      <w:r>
        <w:rPr>
          <w:sz w:val="20"/>
        </w:rPr>
        <w:t>"</w:t>
      </w:r>
      <w:r w:rsidRPr="00CB106B">
        <w:rPr>
          <w:sz w:val="20"/>
        </w:rPr>
        <w:t>Staj, süresi bakımından uzmanlaşma alanı konusunda fikir verebilecek nitelikteydi</w:t>
      </w:r>
      <w:r>
        <w:rPr>
          <w:sz w:val="20"/>
        </w:rPr>
        <w:t>" sorusuna verilen cevaplar.</w:t>
      </w:r>
    </w:p>
    <w:p w:rsidR="00A2199D" w:rsidRDefault="00A2199D" w:rsidP="00CB106B">
      <w:pPr>
        <w:spacing w:after="0"/>
        <w:rPr>
          <w:sz w:val="20"/>
        </w:rPr>
      </w:pPr>
    </w:p>
    <w:p w:rsidR="00D606AF" w:rsidRDefault="00D606AF" w:rsidP="00CB106B">
      <w:pPr>
        <w:spacing w:after="0"/>
        <w:rPr>
          <w:sz w:val="20"/>
        </w:rPr>
      </w:pPr>
    </w:p>
    <w:p w:rsidR="00D606AF" w:rsidRDefault="00D606AF" w:rsidP="00D606AF">
      <w:pPr>
        <w:spacing w:after="0"/>
      </w:pPr>
      <w:r w:rsidRPr="00D606AF">
        <w:rPr>
          <w:noProof/>
          <w:lang w:eastAsia="tr-TR"/>
        </w:rPr>
        <w:lastRenderedPageBreak/>
        <w:drawing>
          <wp:inline distT="0" distB="0" distL="0" distR="0">
            <wp:extent cx="5482590" cy="1531620"/>
            <wp:effectExtent l="19050" t="0" r="22860" b="0"/>
            <wp:docPr id="7"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606AF" w:rsidRDefault="00D606AF" w:rsidP="00D606AF">
      <w:pPr>
        <w:spacing w:after="0"/>
        <w:rPr>
          <w:sz w:val="20"/>
        </w:rPr>
      </w:pPr>
      <w:r>
        <w:tab/>
      </w:r>
      <w:r w:rsidRPr="00D606AF">
        <w:rPr>
          <w:sz w:val="20"/>
        </w:rPr>
        <w:t>Şekil 4. "Staj iş tecrübesi kazandırmıştır" sorusuna verilen cevaplar.</w:t>
      </w:r>
    </w:p>
    <w:p w:rsidR="00636B98" w:rsidRDefault="00636B98" w:rsidP="00D606AF">
      <w:pPr>
        <w:spacing w:after="0"/>
        <w:rPr>
          <w:sz w:val="20"/>
        </w:rPr>
      </w:pPr>
    </w:p>
    <w:p w:rsidR="00636B98" w:rsidRDefault="001F3C95" w:rsidP="001F3C95">
      <w:pPr>
        <w:spacing w:after="0"/>
      </w:pPr>
      <w:r w:rsidRPr="001F3C95">
        <w:rPr>
          <w:noProof/>
          <w:lang w:eastAsia="tr-TR"/>
        </w:rPr>
        <w:drawing>
          <wp:inline distT="0" distB="0" distL="0" distR="0">
            <wp:extent cx="5482590" cy="1546860"/>
            <wp:effectExtent l="19050" t="0" r="22860" b="0"/>
            <wp:docPr id="8"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F3C95" w:rsidRDefault="001F3C95" w:rsidP="001F3C95">
      <w:pPr>
        <w:spacing w:after="0"/>
        <w:rPr>
          <w:sz w:val="20"/>
        </w:rPr>
      </w:pPr>
      <w:r>
        <w:tab/>
      </w:r>
      <w:r w:rsidRPr="001F3C95">
        <w:rPr>
          <w:sz w:val="20"/>
        </w:rPr>
        <w:t>Şekil 5. "Staj yeteneklerimi geliştirmiştir" sorusuna verilen cevaplar.</w:t>
      </w:r>
    </w:p>
    <w:p w:rsidR="00657F3C" w:rsidRDefault="00657F3C" w:rsidP="001F3C95">
      <w:pPr>
        <w:spacing w:after="0"/>
        <w:rPr>
          <w:sz w:val="20"/>
        </w:rPr>
      </w:pPr>
    </w:p>
    <w:p w:rsidR="00657F3C" w:rsidRDefault="00657F3C" w:rsidP="001F3C95">
      <w:pPr>
        <w:spacing w:after="0"/>
      </w:pPr>
      <w:r w:rsidRPr="00657F3C">
        <w:rPr>
          <w:noProof/>
          <w:lang w:eastAsia="tr-TR"/>
        </w:rPr>
        <w:drawing>
          <wp:inline distT="0" distB="0" distL="0" distR="0">
            <wp:extent cx="5482590" cy="1501140"/>
            <wp:effectExtent l="19050" t="0" r="22860" b="3810"/>
            <wp:docPr id="9"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57F3C" w:rsidRDefault="00657F3C" w:rsidP="001F3C95">
      <w:pPr>
        <w:spacing w:after="0"/>
        <w:rPr>
          <w:sz w:val="20"/>
        </w:rPr>
      </w:pPr>
      <w:r>
        <w:tab/>
      </w:r>
      <w:r>
        <w:rPr>
          <w:sz w:val="20"/>
        </w:rPr>
        <w:t>Şekil 6. "</w:t>
      </w:r>
      <w:r w:rsidRPr="00657F3C">
        <w:rPr>
          <w:sz w:val="20"/>
        </w:rPr>
        <w:t>Üniversitede gördüğüm teorik bilgiyi,</w:t>
      </w:r>
      <w:r>
        <w:rPr>
          <w:sz w:val="20"/>
        </w:rPr>
        <w:t xml:space="preserve"> stajda uygulamaya aktarabildim" sorusuna verilen cevaplar.</w:t>
      </w:r>
    </w:p>
    <w:p w:rsidR="00657F3C" w:rsidRDefault="00657F3C" w:rsidP="001F3C95">
      <w:pPr>
        <w:spacing w:after="0"/>
        <w:rPr>
          <w:sz w:val="20"/>
        </w:rPr>
      </w:pPr>
    </w:p>
    <w:p w:rsidR="00657F3C" w:rsidRDefault="00657F3C" w:rsidP="001F3C95">
      <w:pPr>
        <w:spacing w:after="0"/>
        <w:rPr>
          <w:sz w:val="20"/>
        </w:rPr>
      </w:pPr>
      <w:r w:rsidRPr="00657F3C">
        <w:rPr>
          <w:noProof/>
          <w:sz w:val="20"/>
          <w:lang w:eastAsia="tr-TR"/>
        </w:rPr>
        <w:drawing>
          <wp:inline distT="0" distB="0" distL="0" distR="0">
            <wp:extent cx="5482590" cy="1600200"/>
            <wp:effectExtent l="19050" t="0" r="22860" b="0"/>
            <wp:docPr id="10"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A37BD" w:rsidRDefault="00657F3C" w:rsidP="001F3C95">
      <w:pPr>
        <w:spacing w:after="0"/>
        <w:rPr>
          <w:sz w:val="20"/>
        </w:rPr>
      </w:pPr>
      <w:r>
        <w:rPr>
          <w:sz w:val="20"/>
        </w:rPr>
        <w:tab/>
        <w:t>Şekil 7. "</w:t>
      </w:r>
      <w:r w:rsidRPr="00657F3C">
        <w:rPr>
          <w:sz w:val="20"/>
        </w:rPr>
        <w:t>Eğitim-öğretim yılının bir dönemi boyunca okula gidip, diğer dönemi süresince özlük haklarım korunarak (maaş,yol,yemek vb. gibi ) staj yapsaydım, kendimi</w:t>
      </w:r>
      <w:r>
        <w:rPr>
          <w:sz w:val="20"/>
        </w:rPr>
        <w:t xml:space="preserve"> mesleğe daha hazır hissederdim" sorusuna verilen cevaplar.</w:t>
      </w:r>
    </w:p>
    <w:p w:rsidR="00B3733A" w:rsidRDefault="00B3733A" w:rsidP="001F3C95">
      <w:pPr>
        <w:spacing w:after="0"/>
        <w:rPr>
          <w:sz w:val="20"/>
        </w:rPr>
      </w:pPr>
    </w:p>
    <w:p w:rsidR="000A37BD" w:rsidRDefault="00B3733A" w:rsidP="00B3733A">
      <w:pPr>
        <w:spacing w:after="0"/>
        <w:rPr>
          <w:sz w:val="20"/>
        </w:rPr>
      </w:pPr>
      <w:r w:rsidRPr="00B3733A">
        <w:rPr>
          <w:noProof/>
          <w:sz w:val="20"/>
          <w:lang w:eastAsia="tr-TR"/>
        </w:rPr>
        <w:lastRenderedPageBreak/>
        <w:drawing>
          <wp:inline distT="0" distB="0" distL="0" distR="0">
            <wp:extent cx="5330190" cy="1783080"/>
            <wp:effectExtent l="19050" t="0" r="22860" b="7620"/>
            <wp:docPr id="11"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3733A" w:rsidRDefault="00B3733A" w:rsidP="00B3733A">
      <w:pPr>
        <w:spacing w:after="0"/>
        <w:rPr>
          <w:sz w:val="20"/>
        </w:rPr>
      </w:pPr>
      <w:r>
        <w:rPr>
          <w:sz w:val="20"/>
        </w:rPr>
        <w:tab/>
        <w:t>Şekil 8. "</w:t>
      </w:r>
      <w:r w:rsidRPr="00B3733A">
        <w:rPr>
          <w:sz w:val="20"/>
        </w:rPr>
        <w:t>Yaz dönemi yerine, haftanın belirli günleri okula gidip, diğer günlerde özlük haklarım korunarak (maaş,yol,yemek vb. gibi) stajı gerçekleştirseydim kendimi</w:t>
      </w:r>
      <w:r>
        <w:rPr>
          <w:sz w:val="20"/>
        </w:rPr>
        <w:t xml:space="preserve"> mesleğe daha hazır hissederdim" sorusuna verilen cevaplar.</w:t>
      </w:r>
    </w:p>
    <w:p w:rsidR="00E33DD8" w:rsidRDefault="00E33DD8" w:rsidP="00B3733A">
      <w:pPr>
        <w:spacing w:after="0"/>
        <w:rPr>
          <w:sz w:val="20"/>
        </w:rPr>
      </w:pPr>
    </w:p>
    <w:p w:rsidR="00E33DD8" w:rsidRDefault="00E33DD8" w:rsidP="00B3733A">
      <w:pPr>
        <w:spacing w:after="0"/>
        <w:rPr>
          <w:sz w:val="20"/>
        </w:rPr>
      </w:pPr>
    </w:p>
    <w:p w:rsidR="00B3733A" w:rsidRDefault="00B3733A" w:rsidP="00B3733A">
      <w:pPr>
        <w:spacing w:after="0"/>
        <w:rPr>
          <w:sz w:val="20"/>
        </w:rPr>
      </w:pPr>
    </w:p>
    <w:p w:rsidR="00B3733A" w:rsidRDefault="00B3733A" w:rsidP="00B3733A">
      <w:pPr>
        <w:spacing w:after="0"/>
        <w:rPr>
          <w:sz w:val="20"/>
        </w:rPr>
      </w:pPr>
      <w:r w:rsidRPr="00B3733A">
        <w:rPr>
          <w:noProof/>
          <w:sz w:val="20"/>
          <w:lang w:eastAsia="tr-TR"/>
        </w:rPr>
        <w:drawing>
          <wp:inline distT="0" distB="0" distL="0" distR="0">
            <wp:extent cx="5490210" cy="1562100"/>
            <wp:effectExtent l="19050" t="0" r="15240" b="0"/>
            <wp:docPr id="12"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3733A" w:rsidRDefault="00B3733A" w:rsidP="00B3733A">
      <w:pPr>
        <w:spacing w:after="0"/>
        <w:rPr>
          <w:sz w:val="20"/>
        </w:rPr>
      </w:pPr>
      <w:r>
        <w:rPr>
          <w:sz w:val="20"/>
        </w:rPr>
        <w:tab/>
        <w:t>Şekil 9. "</w:t>
      </w:r>
      <w:r w:rsidRPr="00B3733A">
        <w:rPr>
          <w:sz w:val="20"/>
        </w:rPr>
        <w:t>Stajı bir yıl boyunca özlük haklarım korunarak (maaş,yol,yemek vb. gibi ) yapsaydım, kendimi</w:t>
      </w:r>
      <w:r>
        <w:rPr>
          <w:sz w:val="20"/>
        </w:rPr>
        <w:t xml:space="preserve"> mesleğe daha hazır hissederdim" sorusuna verilen cevaplar.</w:t>
      </w:r>
    </w:p>
    <w:p w:rsidR="00737C63" w:rsidRDefault="00737C63" w:rsidP="00B3733A">
      <w:pPr>
        <w:spacing w:after="0"/>
        <w:rPr>
          <w:sz w:val="20"/>
        </w:rPr>
      </w:pPr>
    </w:p>
    <w:p w:rsidR="00737C63" w:rsidRDefault="00737C63" w:rsidP="00B3733A">
      <w:pPr>
        <w:spacing w:after="0"/>
        <w:rPr>
          <w:sz w:val="20"/>
        </w:rPr>
      </w:pPr>
      <w:r w:rsidRPr="00737C63">
        <w:rPr>
          <w:noProof/>
          <w:sz w:val="20"/>
          <w:lang w:eastAsia="tr-TR"/>
        </w:rPr>
        <w:drawing>
          <wp:inline distT="0" distB="0" distL="0" distR="0">
            <wp:extent cx="5593080" cy="1668780"/>
            <wp:effectExtent l="19050" t="0" r="26670" b="7620"/>
            <wp:docPr id="13"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37C63" w:rsidRDefault="00737C63" w:rsidP="00B3733A">
      <w:pPr>
        <w:spacing w:after="0"/>
        <w:rPr>
          <w:sz w:val="20"/>
        </w:rPr>
      </w:pPr>
      <w:r>
        <w:rPr>
          <w:sz w:val="20"/>
        </w:rPr>
        <w:tab/>
        <w:t>Şekil</w:t>
      </w:r>
      <w:r w:rsidRPr="00737C63">
        <w:rPr>
          <w:sz w:val="20"/>
        </w:rPr>
        <w:t xml:space="preserve"> 10. </w:t>
      </w:r>
      <w:r>
        <w:rPr>
          <w:sz w:val="20"/>
        </w:rPr>
        <w:t>"</w:t>
      </w:r>
      <w:r w:rsidRPr="00737C63">
        <w:rPr>
          <w:sz w:val="20"/>
        </w:rPr>
        <w:t>Staj öncesi üniversitede gördüğüm dersler, stajda ihtiyaç</w:t>
      </w:r>
      <w:r>
        <w:rPr>
          <w:sz w:val="20"/>
        </w:rPr>
        <w:t xml:space="preserve"> duyduğum bilgileri sağlamıştır" sorusuna verilen cevaplar.</w:t>
      </w:r>
    </w:p>
    <w:p w:rsidR="00737C63" w:rsidRDefault="00737C63" w:rsidP="00B3733A">
      <w:pPr>
        <w:spacing w:after="0"/>
        <w:rPr>
          <w:sz w:val="20"/>
        </w:rPr>
      </w:pPr>
    </w:p>
    <w:p w:rsidR="00E33DD8" w:rsidRDefault="00E33DD8" w:rsidP="00B3733A">
      <w:pPr>
        <w:spacing w:after="0"/>
        <w:rPr>
          <w:sz w:val="20"/>
        </w:rPr>
      </w:pPr>
      <w:r w:rsidRPr="00E33DD8">
        <w:rPr>
          <w:noProof/>
          <w:sz w:val="20"/>
          <w:lang w:eastAsia="tr-TR"/>
        </w:rPr>
        <w:lastRenderedPageBreak/>
        <w:drawing>
          <wp:inline distT="0" distB="0" distL="0" distR="0">
            <wp:extent cx="5680710" cy="1333500"/>
            <wp:effectExtent l="19050" t="0" r="15240" b="0"/>
            <wp:docPr id="14"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33DD8" w:rsidRDefault="00E33DD8" w:rsidP="00B3733A">
      <w:pPr>
        <w:spacing w:after="0"/>
        <w:rPr>
          <w:sz w:val="20"/>
        </w:rPr>
      </w:pPr>
      <w:r>
        <w:rPr>
          <w:sz w:val="20"/>
        </w:rPr>
        <w:tab/>
        <w:t xml:space="preserve">Şekil </w:t>
      </w:r>
      <w:r w:rsidRPr="00E33DD8">
        <w:rPr>
          <w:sz w:val="20"/>
        </w:rPr>
        <w:t xml:space="preserve">11. </w:t>
      </w:r>
      <w:r>
        <w:rPr>
          <w:sz w:val="20"/>
        </w:rPr>
        <w:t>"</w:t>
      </w:r>
      <w:r w:rsidRPr="00E33DD8">
        <w:rPr>
          <w:sz w:val="20"/>
        </w:rPr>
        <w:t>Stajda ihtiyaç duyduğum bilgileri sağlaya</w:t>
      </w:r>
      <w:r>
        <w:rPr>
          <w:sz w:val="20"/>
        </w:rPr>
        <w:t>n dersleri stajdan sonra gördüm" sorusuna verilen cevaplar.</w:t>
      </w:r>
    </w:p>
    <w:p w:rsidR="00E33DD8" w:rsidRDefault="00E33DD8" w:rsidP="00B3733A">
      <w:pPr>
        <w:spacing w:after="0"/>
        <w:rPr>
          <w:sz w:val="20"/>
        </w:rPr>
      </w:pPr>
    </w:p>
    <w:p w:rsidR="00E33DD8" w:rsidRDefault="00E33DD8" w:rsidP="00B3733A">
      <w:pPr>
        <w:spacing w:after="0"/>
        <w:rPr>
          <w:sz w:val="20"/>
        </w:rPr>
      </w:pPr>
      <w:r w:rsidRPr="00E33DD8">
        <w:rPr>
          <w:noProof/>
          <w:sz w:val="20"/>
          <w:lang w:eastAsia="tr-TR"/>
        </w:rPr>
        <w:drawing>
          <wp:inline distT="0" distB="0" distL="0" distR="0">
            <wp:extent cx="5680710" cy="1493520"/>
            <wp:effectExtent l="19050" t="0" r="15240" b="0"/>
            <wp:docPr id="15" name="Grafi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33DD8" w:rsidRDefault="00E33DD8" w:rsidP="00B3733A">
      <w:pPr>
        <w:spacing w:after="0"/>
        <w:rPr>
          <w:sz w:val="20"/>
        </w:rPr>
      </w:pPr>
      <w:r>
        <w:rPr>
          <w:sz w:val="20"/>
        </w:rPr>
        <w:tab/>
        <w:t xml:space="preserve">Şekil </w:t>
      </w:r>
      <w:r w:rsidRPr="00E33DD8">
        <w:rPr>
          <w:sz w:val="20"/>
        </w:rPr>
        <w:t xml:space="preserve">12. </w:t>
      </w:r>
      <w:r>
        <w:rPr>
          <w:sz w:val="20"/>
        </w:rPr>
        <w:t>"</w:t>
      </w:r>
      <w:r w:rsidRPr="00E33DD8">
        <w:rPr>
          <w:sz w:val="20"/>
        </w:rPr>
        <w:t>Staj yaptığım kurumdaki BBY mezunları, beni gelecekteki meslektaşları o</w:t>
      </w:r>
      <w:r>
        <w:rPr>
          <w:sz w:val="20"/>
        </w:rPr>
        <w:t>larak görmüşlerdir" sorusuna verilen cevaplar.</w:t>
      </w:r>
      <w:r>
        <w:rPr>
          <w:sz w:val="20"/>
        </w:rPr>
        <w:tab/>
      </w:r>
    </w:p>
    <w:p w:rsidR="009D0394" w:rsidRDefault="009D0394" w:rsidP="00B3733A">
      <w:pPr>
        <w:spacing w:after="0"/>
        <w:rPr>
          <w:sz w:val="20"/>
        </w:rPr>
      </w:pPr>
    </w:p>
    <w:p w:rsidR="00E33DD8" w:rsidRDefault="00E33DD8" w:rsidP="00B3733A">
      <w:pPr>
        <w:spacing w:after="0"/>
        <w:rPr>
          <w:sz w:val="20"/>
        </w:rPr>
      </w:pPr>
      <w:r w:rsidRPr="00E33DD8">
        <w:rPr>
          <w:noProof/>
          <w:sz w:val="20"/>
          <w:lang w:eastAsia="tr-TR"/>
        </w:rPr>
        <w:drawing>
          <wp:inline distT="0" distB="0" distL="0" distR="0">
            <wp:extent cx="5745480" cy="1676400"/>
            <wp:effectExtent l="19050" t="0" r="26670" b="0"/>
            <wp:docPr id="16"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D0394" w:rsidRDefault="009D0394" w:rsidP="00B3733A">
      <w:pPr>
        <w:spacing w:after="0"/>
        <w:rPr>
          <w:sz w:val="20"/>
        </w:rPr>
      </w:pPr>
      <w:r>
        <w:rPr>
          <w:sz w:val="20"/>
        </w:rPr>
        <w:tab/>
        <w:t>Şekil 13. "</w:t>
      </w:r>
      <w:r w:rsidRPr="009D0394">
        <w:rPr>
          <w:sz w:val="20"/>
        </w:rPr>
        <w:t>Staj süresince zihinsel çaba gerektirmeyen, rutin işlemlerle meşgul oldum (raf kaydırma, sırt etiketi verme vb. gibi)</w:t>
      </w:r>
      <w:r>
        <w:rPr>
          <w:sz w:val="20"/>
        </w:rPr>
        <w:t>" sorusuna verilen cevaplar.</w:t>
      </w:r>
    </w:p>
    <w:p w:rsidR="009D0394" w:rsidRDefault="009D0394" w:rsidP="00B3733A">
      <w:pPr>
        <w:spacing w:after="0"/>
        <w:rPr>
          <w:sz w:val="20"/>
        </w:rPr>
      </w:pPr>
    </w:p>
    <w:p w:rsidR="009D0394" w:rsidRDefault="009D0394" w:rsidP="00B3733A">
      <w:pPr>
        <w:spacing w:after="0"/>
        <w:rPr>
          <w:sz w:val="20"/>
        </w:rPr>
      </w:pPr>
      <w:r w:rsidRPr="009D0394">
        <w:rPr>
          <w:noProof/>
          <w:sz w:val="20"/>
          <w:lang w:eastAsia="tr-TR"/>
        </w:rPr>
        <w:drawing>
          <wp:inline distT="0" distB="0" distL="0" distR="0">
            <wp:extent cx="5760720" cy="1691640"/>
            <wp:effectExtent l="19050" t="0" r="11430" b="3810"/>
            <wp:docPr id="17"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D0394" w:rsidRDefault="009D0394" w:rsidP="00B3733A">
      <w:pPr>
        <w:spacing w:after="0"/>
        <w:rPr>
          <w:sz w:val="20"/>
        </w:rPr>
      </w:pPr>
      <w:r>
        <w:rPr>
          <w:sz w:val="20"/>
        </w:rPr>
        <w:tab/>
        <w:t>Şekil 14. "</w:t>
      </w:r>
      <w:r w:rsidRPr="009D0394">
        <w:rPr>
          <w:sz w:val="20"/>
        </w:rPr>
        <w:t xml:space="preserve">İşimi yaparken edindiğim tecrübeler, staj sürelerinin </w:t>
      </w:r>
      <w:r>
        <w:rPr>
          <w:sz w:val="20"/>
        </w:rPr>
        <w:t>yetersiz kaldığını göstermiştir" sorusuna verilen cevaplar.</w:t>
      </w:r>
    </w:p>
    <w:p w:rsidR="00A55F23" w:rsidRPr="00A2199D" w:rsidRDefault="00D45507" w:rsidP="00B3733A">
      <w:pPr>
        <w:spacing w:after="0"/>
        <w:rPr>
          <w:b/>
        </w:rPr>
      </w:pPr>
      <w:r w:rsidRPr="00A2199D">
        <w:rPr>
          <w:b/>
        </w:rPr>
        <w:lastRenderedPageBreak/>
        <w:t>Sonuç</w:t>
      </w:r>
    </w:p>
    <w:p w:rsidR="00A424F6" w:rsidRDefault="00A424F6" w:rsidP="00D45507">
      <w:pPr>
        <w:spacing w:after="0"/>
      </w:pPr>
      <w:r>
        <w:t>Üniversite döneminde yapılan stajlar, öğrencileri mesleğe hazırlayan son uygulama süreçleri olmaktadır. Bu stajlar ne kadar nitelikli olursa, öğrenciler o derece mesleğe hazır olabilecektir. Yapıla</w:t>
      </w:r>
      <w:r w:rsidR="00DB64EE">
        <w:t>n bu çalışmada, belirli bir iş tecrübesine sahip BBY mezunlarına stajların niteliği sorulmuş ve dikkate alınması gereken sonuçlar elde edilmiştir.</w:t>
      </w:r>
    </w:p>
    <w:p w:rsidR="00D45507" w:rsidRDefault="00D45507" w:rsidP="00D45507">
      <w:pPr>
        <w:spacing w:after="0"/>
      </w:pPr>
      <w:r w:rsidRPr="00D45507">
        <w:t>Çalışma sonunda elde edilen bulgular şöyle belirtilebilir:</w:t>
      </w:r>
    </w:p>
    <w:p w:rsidR="00433FEB" w:rsidRDefault="00433FEB" w:rsidP="00D45507">
      <w:pPr>
        <w:spacing w:after="0"/>
      </w:pPr>
    </w:p>
    <w:p w:rsidR="00D45507" w:rsidRDefault="00FB0139" w:rsidP="00D45507">
      <w:pPr>
        <w:pStyle w:val="ListeParagraf"/>
        <w:numPr>
          <w:ilvl w:val="0"/>
          <w:numId w:val="4"/>
        </w:numPr>
        <w:spacing w:after="0"/>
        <w:ind w:left="1077" w:hanging="357"/>
      </w:pPr>
      <w:r w:rsidRPr="00D45507">
        <w:t>Stajların meslekte ne yapılacağına dair fikir verebilecek bir süreye sahip olduğu dile getirilmektedir.</w:t>
      </w:r>
    </w:p>
    <w:p w:rsidR="00DC2ECB" w:rsidRPr="00D45507" w:rsidRDefault="00FB0139" w:rsidP="00D45507">
      <w:pPr>
        <w:pStyle w:val="ListeParagraf"/>
        <w:numPr>
          <w:ilvl w:val="0"/>
          <w:numId w:val="4"/>
        </w:numPr>
        <w:spacing w:after="0"/>
        <w:ind w:left="1077" w:hanging="357"/>
      </w:pPr>
      <w:r w:rsidRPr="00D45507">
        <w:t>Stajların, uzmanlaşma alanı konusunda bir fikir verdiği ya da vermediğini belirten cevaplar neredeyse aynı sayıda olmaktadır. Bu soruda 6 kişi kararsız kalmıştır. Bu durum, bu h</w:t>
      </w:r>
      <w:r w:rsidR="0075792F">
        <w:t>usus hakkında bölüm mezunlarının</w:t>
      </w:r>
      <w:r w:rsidRPr="00D45507">
        <w:t xml:space="preserve"> aklında soru işareti bulunduğunu göstermektedir.</w:t>
      </w:r>
    </w:p>
    <w:p w:rsidR="00DC2ECB" w:rsidRDefault="00FB0139" w:rsidP="00D45507">
      <w:pPr>
        <w:pStyle w:val="ListeParagraf"/>
        <w:numPr>
          <w:ilvl w:val="0"/>
          <w:numId w:val="4"/>
        </w:numPr>
        <w:spacing w:after="0"/>
        <w:ind w:left="1077" w:hanging="357"/>
      </w:pPr>
      <w:r w:rsidRPr="00D45507">
        <w:t>Stajların, yetenekleri geliştirip, iş tecrübesi kazandırdığı dile getirilmektedir.</w:t>
      </w:r>
    </w:p>
    <w:p w:rsidR="00DC2ECB" w:rsidRPr="00D45507" w:rsidRDefault="00FB0139" w:rsidP="00D45507">
      <w:pPr>
        <w:pStyle w:val="ListeParagraf"/>
        <w:numPr>
          <w:ilvl w:val="0"/>
          <w:numId w:val="4"/>
        </w:numPr>
        <w:spacing w:after="0"/>
      </w:pPr>
      <w:r w:rsidRPr="00D45507">
        <w:t>Stajlar süresi bakımından öğrencileri mesleğe hazırlamak konusunda yetersiz kalmaktadır.</w:t>
      </w:r>
    </w:p>
    <w:p w:rsidR="00DC2ECB" w:rsidRPr="00D45507" w:rsidRDefault="00FB0139" w:rsidP="00D45507">
      <w:pPr>
        <w:pStyle w:val="ListeParagraf"/>
        <w:numPr>
          <w:ilvl w:val="0"/>
          <w:numId w:val="4"/>
        </w:numPr>
        <w:spacing w:after="0"/>
      </w:pPr>
      <w:r w:rsidRPr="00D45507">
        <w:t>Yaz dönemi yerine, haftanın belirli günleri okula gidip diğer günlerde staja gidilmesi ya da bir dönem okul, bir dönem staj uygulaması ile veya bir yıl boyunca staj yapı</w:t>
      </w:r>
      <w:r w:rsidR="00DD0894">
        <w:t>ldığı takdirde, BBY mezunları</w:t>
      </w:r>
      <w:r w:rsidRPr="00D45507">
        <w:t xml:space="preserve"> kendilerini mesleğe daha hazır </w:t>
      </w:r>
      <w:r w:rsidR="00DD0894">
        <w:t>göreceklerini ifade etmektedir</w:t>
      </w:r>
      <w:r w:rsidRPr="00D45507">
        <w:t>. Haftanın belirli günleri okula gidip diğer günler staja gidilmesi daha çok benimsenen bir yöntem olmaktadır.</w:t>
      </w:r>
    </w:p>
    <w:p w:rsidR="00D45507" w:rsidRDefault="00FB0139" w:rsidP="00D45507">
      <w:pPr>
        <w:pStyle w:val="ListeParagraf"/>
        <w:numPr>
          <w:ilvl w:val="0"/>
          <w:numId w:val="4"/>
        </w:numPr>
        <w:spacing w:after="0"/>
      </w:pPr>
      <w:r w:rsidRPr="00D45507">
        <w:t>İş hayatında edinilen tecrübeler, staj sürelerinin yet</w:t>
      </w:r>
      <w:r w:rsidR="00D45507">
        <w:t>ersiz kaldığını göstermektedir.</w:t>
      </w:r>
    </w:p>
    <w:p w:rsidR="00A424F6" w:rsidRDefault="00A424F6" w:rsidP="00A424F6">
      <w:pPr>
        <w:spacing w:after="0"/>
      </w:pPr>
    </w:p>
    <w:p w:rsidR="00A424F6" w:rsidRPr="004F4C42" w:rsidRDefault="002B15BC" w:rsidP="00A424F6">
      <w:pPr>
        <w:spacing w:after="0"/>
      </w:pPr>
      <w:r>
        <w:t xml:space="preserve">Gelecekteki bilgi ve belge uzmanlarının iş sahası hakkında bizzat çalışarak izlenim edindikleri ilk zaman dilimi staj süreleri olmaktadır. </w:t>
      </w:r>
      <w:r w:rsidR="004F4C42">
        <w:t xml:space="preserve">Staj süreleri ne kadar uzun ve verimli olursa öğrenciler kendilerini mesleğe o derecede hazır hissedecektir. BBY eğitiminde uygulanan mevcut staj süreleri öğrencileri mesleğe hazırlamak konusunda yetersiz kalmaktadır. </w:t>
      </w:r>
      <w:r w:rsidR="00A424F6">
        <w:t xml:space="preserve">Staj sürelerinin uzatılması öğrencileri mesleğe daha iyi hazırlayabilecektir. </w:t>
      </w:r>
      <w:r w:rsidR="00A424F6" w:rsidRPr="004F4C42">
        <w:t>Bu amaçla, Türkiye'deki BBY bölümlerind</w:t>
      </w:r>
      <w:r w:rsidR="004F4C42" w:rsidRPr="004F4C42">
        <w:t>e bir dönem okul, bir dönem staj veya haftanın belirli günleri okul diğer günler staj</w:t>
      </w:r>
      <w:r w:rsidR="00A424F6" w:rsidRPr="004F4C42">
        <w:t xml:space="preserve"> uygulaması tercih edilebilir. </w:t>
      </w:r>
    </w:p>
    <w:p w:rsidR="00D45507" w:rsidRPr="00D45507" w:rsidRDefault="00D45507" w:rsidP="00B3733A">
      <w:pPr>
        <w:spacing w:after="0"/>
        <w:rPr>
          <w:b/>
        </w:rPr>
      </w:pPr>
    </w:p>
    <w:p w:rsidR="00B3733A" w:rsidRDefault="00B3733A" w:rsidP="00B3733A">
      <w:pPr>
        <w:spacing w:after="0"/>
        <w:rPr>
          <w:sz w:val="20"/>
        </w:rPr>
      </w:pPr>
    </w:p>
    <w:p w:rsidR="00B3733A" w:rsidRDefault="00B3733A" w:rsidP="00B3733A">
      <w:pPr>
        <w:spacing w:after="0"/>
        <w:rPr>
          <w:sz w:val="20"/>
        </w:rPr>
      </w:pPr>
    </w:p>
    <w:p w:rsidR="00596D3E" w:rsidRDefault="00596D3E" w:rsidP="00B3733A">
      <w:pPr>
        <w:spacing w:after="0"/>
        <w:rPr>
          <w:sz w:val="20"/>
        </w:rPr>
      </w:pPr>
    </w:p>
    <w:p w:rsidR="00433FEB" w:rsidRPr="00AD3770" w:rsidRDefault="00077D26" w:rsidP="00B3733A">
      <w:pPr>
        <w:spacing w:after="0"/>
        <w:rPr>
          <w:b/>
        </w:rPr>
      </w:pPr>
      <w:r w:rsidRPr="00AD3770">
        <w:rPr>
          <w:b/>
        </w:rPr>
        <w:lastRenderedPageBreak/>
        <w:t>KAYNAKÇA</w:t>
      </w:r>
    </w:p>
    <w:p w:rsidR="00A206BD" w:rsidRPr="004A49F7" w:rsidRDefault="00394AEB" w:rsidP="004A49F7">
      <w:pPr>
        <w:pStyle w:val="ListeParagraf"/>
        <w:spacing w:after="0" w:line="240" w:lineRule="auto"/>
        <w:ind w:left="0"/>
        <w:contextualSpacing w:val="0"/>
        <w:rPr>
          <w:rFonts w:cs="Times New Roman"/>
          <w:szCs w:val="24"/>
        </w:rPr>
      </w:pPr>
      <w:r w:rsidRPr="004A49F7">
        <w:rPr>
          <w:rFonts w:cs="Times New Roman"/>
          <w:szCs w:val="24"/>
        </w:rPr>
        <w:t xml:space="preserve">Albright, K. ve Kawooya, D. (2007). Libraries in the time of AIDS: African perspective and recommendations for a revised model of LIS education. </w:t>
      </w:r>
      <w:r w:rsidRPr="004A49F7">
        <w:rPr>
          <w:rFonts w:cs="Times New Roman"/>
          <w:i/>
          <w:szCs w:val="24"/>
        </w:rPr>
        <w:t>TheInternational Information &amp; Library Review</w:t>
      </w:r>
      <w:r w:rsidRPr="004A49F7">
        <w:rPr>
          <w:rFonts w:cs="Times New Roman"/>
          <w:szCs w:val="24"/>
        </w:rPr>
        <w:t>. 39, 109-120.</w:t>
      </w:r>
    </w:p>
    <w:p w:rsidR="009115DA" w:rsidRPr="004A49F7" w:rsidRDefault="009115DA" w:rsidP="004A49F7">
      <w:pPr>
        <w:pStyle w:val="ListeParagraf"/>
        <w:spacing w:after="0" w:line="240" w:lineRule="auto"/>
        <w:ind w:left="0"/>
        <w:contextualSpacing w:val="0"/>
        <w:rPr>
          <w:rFonts w:cs="Times New Roman"/>
          <w:szCs w:val="24"/>
        </w:rPr>
      </w:pPr>
    </w:p>
    <w:p w:rsidR="00A206BD" w:rsidRPr="004A49F7" w:rsidRDefault="00A206BD" w:rsidP="004A49F7">
      <w:pPr>
        <w:pStyle w:val="ListeParagraf"/>
        <w:spacing w:after="0" w:line="240" w:lineRule="auto"/>
        <w:ind w:left="0"/>
        <w:contextualSpacing w:val="0"/>
        <w:rPr>
          <w:rFonts w:cs="Times New Roman"/>
          <w:szCs w:val="24"/>
        </w:rPr>
      </w:pPr>
      <w:r w:rsidRPr="004A49F7">
        <w:rPr>
          <w:rFonts w:cs="Times New Roman"/>
          <w:szCs w:val="24"/>
        </w:rPr>
        <w:t>Ankara Üniversitesi Dil ve Tarih-Coğrafya Fakültesi</w:t>
      </w:r>
      <w:r w:rsidR="0013024E" w:rsidRPr="004A49F7">
        <w:rPr>
          <w:rFonts w:cs="Times New Roman"/>
          <w:szCs w:val="24"/>
        </w:rPr>
        <w:t xml:space="preserve"> Bilgi ve Belge Yönetimi Bölümü. 12.04.2014 tarihinde  http://bilgibelge.humanity.ankara.edu.tr/index.php?bil=bil_icerik&amp;icerik_id=184 adresinden erişildi.</w:t>
      </w:r>
    </w:p>
    <w:p w:rsidR="00433FEB" w:rsidRPr="004A49F7" w:rsidRDefault="00433FEB" w:rsidP="004A49F7">
      <w:pPr>
        <w:pStyle w:val="ListeParagraf"/>
        <w:spacing w:after="0" w:line="240" w:lineRule="auto"/>
        <w:ind w:left="0"/>
        <w:contextualSpacing w:val="0"/>
        <w:rPr>
          <w:rFonts w:cs="Times New Roman"/>
          <w:szCs w:val="24"/>
        </w:rPr>
      </w:pPr>
    </w:p>
    <w:p w:rsidR="00433FEB" w:rsidRPr="004A49F7" w:rsidRDefault="00433FEB" w:rsidP="004A49F7">
      <w:pPr>
        <w:pStyle w:val="ListeParagraf"/>
        <w:spacing w:after="0" w:line="240" w:lineRule="auto"/>
        <w:ind w:left="0"/>
        <w:rPr>
          <w:rFonts w:cs="Times New Roman"/>
          <w:szCs w:val="24"/>
        </w:rPr>
      </w:pPr>
      <w:r w:rsidRPr="004A49F7">
        <w:rPr>
          <w:rFonts w:cs="Times New Roman"/>
          <w:szCs w:val="24"/>
        </w:rPr>
        <w:t xml:space="preserve">Aydın, Aysun Ülkü. (1994). </w:t>
      </w:r>
      <w:r w:rsidRPr="004A49F7">
        <w:rPr>
          <w:rFonts w:cs="Times New Roman"/>
          <w:i/>
          <w:szCs w:val="24"/>
        </w:rPr>
        <w:t>Hacettepe Üniversitesi Kütüphanecilik Bölümünde Uygulanmakta Olan Staj Programının Değerlendirilmesi</w:t>
      </w:r>
      <w:r w:rsidRPr="004A49F7">
        <w:rPr>
          <w:rFonts w:cs="Times New Roman"/>
          <w:szCs w:val="24"/>
        </w:rPr>
        <w:t>. Yayınlanmamış Yüksek Lisans Tezi. Ankara: Hacettepe Üniversitesi.</w:t>
      </w:r>
    </w:p>
    <w:p w:rsidR="0013024E" w:rsidRPr="004A49F7" w:rsidRDefault="0013024E" w:rsidP="004A49F7">
      <w:pPr>
        <w:pStyle w:val="ListeParagraf"/>
        <w:spacing w:after="0" w:line="240" w:lineRule="auto"/>
        <w:ind w:left="0"/>
        <w:contextualSpacing w:val="0"/>
        <w:rPr>
          <w:rFonts w:cs="Times New Roman"/>
          <w:szCs w:val="24"/>
        </w:rPr>
      </w:pPr>
    </w:p>
    <w:p w:rsidR="00AC058A" w:rsidRPr="004A49F7" w:rsidRDefault="00AC058A" w:rsidP="004A49F7">
      <w:pPr>
        <w:autoSpaceDE w:val="0"/>
        <w:autoSpaceDN w:val="0"/>
        <w:adjustRightInd w:val="0"/>
        <w:spacing w:after="0" w:line="240" w:lineRule="auto"/>
        <w:rPr>
          <w:rFonts w:cs="Times New Roman"/>
          <w:szCs w:val="24"/>
        </w:rPr>
      </w:pPr>
      <w:r w:rsidRPr="004A49F7">
        <w:rPr>
          <w:rFonts w:cs="Times New Roman"/>
          <w:szCs w:val="24"/>
        </w:rPr>
        <w:t xml:space="preserve">Baydur, G. ve Külcü, Ö. (2007). Arşivcilik eğitimi: Hacettepe Üniversitesi deneyiminin ardından. </w:t>
      </w:r>
      <w:r w:rsidRPr="004A49F7">
        <w:rPr>
          <w:rFonts w:cs="Times New Roman"/>
          <w:i/>
          <w:iCs/>
          <w:szCs w:val="24"/>
        </w:rPr>
        <w:t xml:space="preserve">Değişen Dünyada Bilgi Yönetimi Sempozyumu, 24-26 Ekim 2007, Ankara. Bildiriler </w:t>
      </w:r>
      <w:r w:rsidRPr="004A49F7">
        <w:rPr>
          <w:rFonts w:cs="Times New Roman"/>
          <w:szCs w:val="24"/>
        </w:rPr>
        <w:t>içinde (ss. 24-31). Kurbanoğlu, S. vd. (Yay. Haz.). Ankara: Hacettepe Üniversitesi Bilgi ve Belge Yönetimi Bölümü. 0</w:t>
      </w:r>
      <w:r w:rsidR="004E4D43" w:rsidRPr="004A49F7">
        <w:rPr>
          <w:rFonts w:cs="Times New Roman"/>
          <w:szCs w:val="24"/>
        </w:rPr>
        <w:t>5</w:t>
      </w:r>
      <w:r w:rsidRPr="004A49F7">
        <w:rPr>
          <w:rFonts w:cs="Times New Roman"/>
          <w:szCs w:val="24"/>
        </w:rPr>
        <w:t>.0</w:t>
      </w:r>
      <w:r w:rsidR="004E4D43" w:rsidRPr="004A49F7">
        <w:rPr>
          <w:rFonts w:cs="Times New Roman"/>
          <w:szCs w:val="24"/>
        </w:rPr>
        <w:t>4</w:t>
      </w:r>
      <w:r w:rsidRPr="004A49F7">
        <w:rPr>
          <w:rFonts w:cs="Times New Roman"/>
          <w:szCs w:val="24"/>
        </w:rPr>
        <w:t>.2014 tarihinde http://by2007.bilgiyonetimi.net/ bildiriler/baydur_kulcu.pdf adresinden erişildi.</w:t>
      </w:r>
    </w:p>
    <w:p w:rsidR="00AC058A" w:rsidRPr="004A49F7" w:rsidRDefault="00AC058A" w:rsidP="004A49F7">
      <w:pPr>
        <w:autoSpaceDE w:val="0"/>
        <w:autoSpaceDN w:val="0"/>
        <w:adjustRightInd w:val="0"/>
        <w:spacing w:after="0" w:line="240" w:lineRule="auto"/>
        <w:rPr>
          <w:rFonts w:cs="Times New Roman"/>
          <w:szCs w:val="24"/>
        </w:rPr>
      </w:pPr>
    </w:p>
    <w:p w:rsidR="00AC058A" w:rsidRPr="004A49F7" w:rsidRDefault="00AC058A" w:rsidP="004A49F7">
      <w:pPr>
        <w:autoSpaceDE w:val="0"/>
        <w:autoSpaceDN w:val="0"/>
        <w:adjustRightInd w:val="0"/>
        <w:spacing w:after="0" w:line="240" w:lineRule="auto"/>
        <w:rPr>
          <w:rFonts w:cs="Times New Roman"/>
          <w:szCs w:val="24"/>
        </w:rPr>
      </w:pPr>
      <w:r w:rsidRPr="004A49F7">
        <w:rPr>
          <w:rFonts w:cs="Times New Roman"/>
          <w:szCs w:val="24"/>
        </w:rPr>
        <w:t xml:space="preserve">Bitri, E. (2013). Kütüphane ve Bilgibilim Eğitimi: Arnavutluk İçin Bir Yaklaşım. </w:t>
      </w:r>
      <w:r w:rsidRPr="004A49F7">
        <w:rPr>
          <w:rFonts w:cs="Times New Roman"/>
          <w:i/>
          <w:szCs w:val="24"/>
        </w:rPr>
        <w:t>Türk Kütüphaneciliği</w:t>
      </w:r>
      <w:r w:rsidRPr="004A49F7">
        <w:rPr>
          <w:rFonts w:cs="Times New Roman"/>
          <w:szCs w:val="24"/>
        </w:rPr>
        <w:t>. 27(1), 117-135.</w:t>
      </w:r>
    </w:p>
    <w:p w:rsidR="00394AEB" w:rsidRPr="004A49F7" w:rsidRDefault="00394AEB" w:rsidP="004A49F7">
      <w:pPr>
        <w:autoSpaceDE w:val="0"/>
        <w:autoSpaceDN w:val="0"/>
        <w:adjustRightInd w:val="0"/>
        <w:spacing w:after="0" w:line="240" w:lineRule="auto"/>
        <w:rPr>
          <w:rFonts w:cs="Times New Roman"/>
          <w:szCs w:val="24"/>
        </w:rPr>
      </w:pPr>
    </w:p>
    <w:p w:rsidR="00394AEB" w:rsidRPr="004A49F7" w:rsidRDefault="00394AEB" w:rsidP="004A49F7">
      <w:pPr>
        <w:pStyle w:val="ListeParagraf"/>
        <w:spacing w:after="0" w:line="240" w:lineRule="auto"/>
        <w:ind w:left="0"/>
        <w:contextualSpacing w:val="0"/>
        <w:rPr>
          <w:rFonts w:cs="Times New Roman"/>
          <w:szCs w:val="24"/>
        </w:rPr>
      </w:pPr>
      <w:r w:rsidRPr="004A49F7">
        <w:rPr>
          <w:rFonts w:cs="Times New Roman"/>
          <w:szCs w:val="24"/>
        </w:rPr>
        <w:t xml:space="preserve">Cherry, J. M. vd. (2011). Student perceptions of information professions and their master's program in information studies. </w:t>
      </w:r>
      <w:r w:rsidRPr="004A49F7">
        <w:rPr>
          <w:rFonts w:cs="Times New Roman"/>
          <w:i/>
          <w:szCs w:val="24"/>
        </w:rPr>
        <w:t>Library &amp; Information Science Research</w:t>
      </w:r>
      <w:r w:rsidRPr="004A49F7">
        <w:rPr>
          <w:rFonts w:cs="Times New Roman"/>
          <w:szCs w:val="24"/>
        </w:rPr>
        <w:t>. 33, 120-131.</w:t>
      </w:r>
    </w:p>
    <w:p w:rsidR="0013024E" w:rsidRPr="004A49F7" w:rsidRDefault="0013024E" w:rsidP="004A49F7">
      <w:pPr>
        <w:pStyle w:val="ListeParagraf"/>
        <w:spacing w:after="0" w:line="240" w:lineRule="auto"/>
        <w:ind w:left="0"/>
        <w:contextualSpacing w:val="0"/>
        <w:rPr>
          <w:rFonts w:cs="Times New Roman"/>
          <w:szCs w:val="24"/>
        </w:rPr>
      </w:pPr>
    </w:p>
    <w:p w:rsidR="0013024E" w:rsidRPr="004A49F7" w:rsidRDefault="00394AEB" w:rsidP="004A49F7">
      <w:pPr>
        <w:pStyle w:val="ListeParagraf"/>
        <w:spacing w:after="0" w:line="240" w:lineRule="auto"/>
        <w:ind w:left="0"/>
        <w:contextualSpacing w:val="0"/>
        <w:rPr>
          <w:rFonts w:cs="Times New Roman"/>
          <w:szCs w:val="24"/>
        </w:rPr>
      </w:pPr>
      <w:r w:rsidRPr="004A49F7">
        <w:rPr>
          <w:rFonts w:cs="Times New Roman"/>
          <w:szCs w:val="24"/>
        </w:rPr>
        <w:t xml:space="preserve">Combes, B. vd. (2011). Student voices: Re conceptualising and re-positioning Australian library and information science education for the twenty-first century. </w:t>
      </w:r>
      <w:r w:rsidRPr="004A49F7">
        <w:rPr>
          <w:rFonts w:cs="Times New Roman"/>
          <w:i/>
          <w:szCs w:val="24"/>
        </w:rPr>
        <w:t>TheInternational Information &amp; Library Review</w:t>
      </w:r>
      <w:r w:rsidRPr="004A49F7">
        <w:rPr>
          <w:rFonts w:cs="Times New Roman"/>
          <w:szCs w:val="24"/>
        </w:rPr>
        <w:t>. 43, 137-143.</w:t>
      </w:r>
    </w:p>
    <w:p w:rsidR="0013024E" w:rsidRPr="004A49F7" w:rsidRDefault="0013024E" w:rsidP="004A49F7">
      <w:pPr>
        <w:pStyle w:val="ListeParagraf"/>
        <w:spacing w:after="0" w:line="240" w:lineRule="auto"/>
        <w:ind w:left="0"/>
        <w:contextualSpacing w:val="0"/>
        <w:rPr>
          <w:rFonts w:cs="Times New Roman"/>
          <w:szCs w:val="24"/>
        </w:rPr>
      </w:pPr>
    </w:p>
    <w:p w:rsidR="0013024E" w:rsidRPr="004A49F7" w:rsidRDefault="00AC058A" w:rsidP="004A49F7">
      <w:pPr>
        <w:pStyle w:val="ListeParagraf"/>
        <w:spacing w:after="0" w:line="240" w:lineRule="auto"/>
        <w:ind w:left="0"/>
        <w:contextualSpacing w:val="0"/>
        <w:rPr>
          <w:rFonts w:cs="Times New Roman"/>
          <w:szCs w:val="24"/>
        </w:rPr>
      </w:pPr>
      <w:r w:rsidRPr="004A49F7">
        <w:rPr>
          <w:rFonts w:cs="Times New Roman"/>
          <w:szCs w:val="24"/>
        </w:rPr>
        <w:t xml:space="preserve">Keskin, İ. (2007). Gelişmelerin Şekillendirdiği Bir Bilim Olarak Arşivcilik ve Arşivcilik Eğitimi. </w:t>
      </w:r>
      <w:r w:rsidRPr="004A49F7">
        <w:rPr>
          <w:rFonts w:cs="Times New Roman"/>
          <w:i/>
          <w:iCs/>
          <w:szCs w:val="24"/>
        </w:rPr>
        <w:t xml:space="preserve">Değişen Dünyada Bilgi Yönetimi Sempozyumu, 24-26 Ekim 2007, Ankara. Bildiriler </w:t>
      </w:r>
      <w:r w:rsidRPr="004A49F7">
        <w:rPr>
          <w:rFonts w:cs="Times New Roman"/>
          <w:szCs w:val="24"/>
        </w:rPr>
        <w:t>içinde (ss. 82-91). Kurbanoğlu, S. vd (Yay. Haz.). Ankara: Hacettepe Üniversitesi Bi</w:t>
      </w:r>
      <w:r w:rsidR="004E4D43" w:rsidRPr="004A49F7">
        <w:rPr>
          <w:rFonts w:cs="Times New Roman"/>
          <w:szCs w:val="24"/>
        </w:rPr>
        <w:t>lgi ve Belge Yönetimi Bölümü. 05</w:t>
      </w:r>
      <w:r w:rsidRPr="004A49F7">
        <w:rPr>
          <w:rFonts w:cs="Times New Roman"/>
          <w:szCs w:val="24"/>
        </w:rPr>
        <w:t>.0</w:t>
      </w:r>
      <w:r w:rsidR="004E4D43" w:rsidRPr="004A49F7">
        <w:rPr>
          <w:rFonts w:cs="Times New Roman"/>
          <w:szCs w:val="24"/>
        </w:rPr>
        <w:t>4</w:t>
      </w:r>
      <w:r w:rsidRPr="004A49F7">
        <w:rPr>
          <w:rFonts w:cs="Times New Roman"/>
          <w:szCs w:val="24"/>
        </w:rPr>
        <w:t>.2014 tarihinde http://by2007.bilgiyonetimi.net/bildiriler/tuncer.pdf adresinden erişildi.</w:t>
      </w:r>
    </w:p>
    <w:p w:rsidR="0013024E" w:rsidRPr="004A49F7" w:rsidRDefault="0013024E" w:rsidP="004A49F7">
      <w:pPr>
        <w:pStyle w:val="ListeParagraf"/>
        <w:spacing w:after="0" w:line="240" w:lineRule="auto"/>
        <w:ind w:left="0"/>
        <w:contextualSpacing w:val="0"/>
        <w:rPr>
          <w:rFonts w:cs="Times New Roman"/>
          <w:szCs w:val="24"/>
        </w:rPr>
      </w:pPr>
    </w:p>
    <w:p w:rsidR="00AC058A" w:rsidRPr="004A49F7" w:rsidRDefault="00077D26" w:rsidP="004A49F7">
      <w:pPr>
        <w:pStyle w:val="ListeParagraf"/>
        <w:spacing w:after="0" w:line="240" w:lineRule="auto"/>
        <w:ind w:left="0"/>
        <w:contextualSpacing w:val="0"/>
        <w:rPr>
          <w:rFonts w:cs="Times New Roman"/>
          <w:szCs w:val="24"/>
        </w:rPr>
      </w:pPr>
      <w:r w:rsidRPr="004A49F7">
        <w:rPr>
          <w:rFonts w:cs="Times New Roman"/>
          <w:szCs w:val="24"/>
        </w:rPr>
        <w:t xml:space="preserve">Çakın, İ. (2005). Cumhuriyet’ten günümüze bilgi profesyonellerinin eğitiminde başlıca yönelişler. </w:t>
      </w:r>
      <w:r w:rsidRPr="004A49F7">
        <w:rPr>
          <w:rFonts w:cs="Times New Roman"/>
          <w:i/>
          <w:iCs/>
          <w:szCs w:val="24"/>
        </w:rPr>
        <w:t xml:space="preserve">Türk Kütüphaneciliği, </w:t>
      </w:r>
      <w:r w:rsidRPr="004A49F7">
        <w:rPr>
          <w:rFonts w:cs="Times New Roman"/>
          <w:szCs w:val="24"/>
        </w:rPr>
        <w:t>19(1), 7-24.</w:t>
      </w:r>
    </w:p>
    <w:p w:rsidR="0013024E" w:rsidRPr="004A49F7" w:rsidRDefault="0013024E" w:rsidP="004A49F7">
      <w:pPr>
        <w:pStyle w:val="ListeParagraf"/>
        <w:spacing w:after="0" w:line="240" w:lineRule="auto"/>
        <w:ind w:left="0"/>
        <w:contextualSpacing w:val="0"/>
        <w:rPr>
          <w:rFonts w:cs="Times New Roman"/>
          <w:szCs w:val="24"/>
        </w:rPr>
      </w:pPr>
    </w:p>
    <w:p w:rsidR="00077D26" w:rsidRPr="004A49F7" w:rsidRDefault="00AC058A" w:rsidP="004A49F7">
      <w:pPr>
        <w:autoSpaceDE w:val="0"/>
        <w:autoSpaceDN w:val="0"/>
        <w:adjustRightInd w:val="0"/>
        <w:spacing w:after="0" w:line="240" w:lineRule="auto"/>
        <w:rPr>
          <w:rFonts w:cs="Times New Roman"/>
          <w:szCs w:val="24"/>
        </w:rPr>
      </w:pPr>
      <w:r w:rsidRPr="004A49F7">
        <w:rPr>
          <w:rFonts w:cs="Times New Roman"/>
          <w:szCs w:val="24"/>
        </w:rPr>
        <w:t xml:space="preserve">Çakın, İ. (2012). Bilgi profesyonellerinin eğitiminde 40 yıl: Hacettepe Üniversitesinin lisans programındaki değişiklikler. </w:t>
      </w:r>
      <w:r w:rsidRPr="004A49F7">
        <w:rPr>
          <w:rFonts w:cs="Times New Roman"/>
          <w:i/>
          <w:iCs/>
          <w:szCs w:val="24"/>
        </w:rPr>
        <w:t>Türk Kütüphaneciliği</w:t>
      </w:r>
      <w:r w:rsidRPr="004A49F7">
        <w:rPr>
          <w:rFonts w:cs="Times New Roman"/>
          <w:szCs w:val="24"/>
        </w:rPr>
        <w:t>, 26(2), 262-290.</w:t>
      </w:r>
    </w:p>
    <w:p w:rsidR="0013024E" w:rsidRPr="004A49F7" w:rsidRDefault="0013024E" w:rsidP="004A49F7">
      <w:pPr>
        <w:autoSpaceDE w:val="0"/>
        <w:autoSpaceDN w:val="0"/>
        <w:adjustRightInd w:val="0"/>
        <w:spacing w:after="0" w:line="240" w:lineRule="auto"/>
        <w:rPr>
          <w:rFonts w:cs="Times New Roman"/>
          <w:szCs w:val="24"/>
        </w:rPr>
      </w:pPr>
    </w:p>
    <w:p w:rsidR="00394AEB" w:rsidRPr="004A49F7" w:rsidRDefault="00077D26" w:rsidP="004A49F7">
      <w:pPr>
        <w:pStyle w:val="ListeParagraf"/>
        <w:spacing w:after="0" w:line="240" w:lineRule="auto"/>
        <w:ind w:left="0"/>
        <w:contextualSpacing w:val="0"/>
        <w:rPr>
          <w:rFonts w:cs="Times New Roman"/>
          <w:szCs w:val="24"/>
        </w:rPr>
      </w:pPr>
      <w:r w:rsidRPr="004A49F7">
        <w:rPr>
          <w:rFonts w:cs="Times New Roman"/>
          <w:szCs w:val="24"/>
        </w:rPr>
        <w:t xml:space="preserve">Çetinkaya, M. ve Kurşun, B. Y. (2011). Kullanıcı Odaklı Olarak Kurulan Büyük Kütüphane'de Staj. </w:t>
      </w:r>
      <w:r w:rsidRPr="004A49F7">
        <w:rPr>
          <w:rFonts w:cs="Times New Roman"/>
          <w:i/>
          <w:szCs w:val="24"/>
        </w:rPr>
        <w:t>Türk Kütüphaneciliği</w:t>
      </w:r>
      <w:r w:rsidRPr="004A49F7">
        <w:rPr>
          <w:rFonts w:cs="Times New Roman"/>
          <w:szCs w:val="24"/>
        </w:rPr>
        <w:t>. 25(1), 156-161.</w:t>
      </w:r>
    </w:p>
    <w:p w:rsidR="0013024E" w:rsidRPr="004A49F7" w:rsidRDefault="0013024E" w:rsidP="004A49F7">
      <w:pPr>
        <w:pStyle w:val="ListeParagraf"/>
        <w:spacing w:after="0" w:line="240" w:lineRule="auto"/>
        <w:ind w:left="0"/>
        <w:contextualSpacing w:val="0"/>
        <w:rPr>
          <w:rFonts w:cs="Times New Roman"/>
          <w:szCs w:val="24"/>
        </w:rPr>
      </w:pPr>
    </w:p>
    <w:p w:rsidR="00394AEB" w:rsidRPr="004A49F7" w:rsidRDefault="00394AEB" w:rsidP="004A49F7">
      <w:pPr>
        <w:pStyle w:val="ListeParagraf"/>
        <w:spacing w:after="0" w:line="240" w:lineRule="auto"/>
        <w:ind w:left="0"/>
        <w:contextualSpacing w:val="0"/>
        <w:rPr>
          <w:rFonts w:cs="Times New Roman"/>
          <w:szCs w:val="24"/>
        </w:rPr>
      </w:pPr>
      <w:r w:rsidRPr="004A49F7">
        <w:rPr>
          <w:rFonts w:cs="Times New Roman"/>
          <w:szCs w:val="24"/>
        </w:rPr>
        <w:t xml:space="preserve">Diso, L. I. ve Njoku, I. F. (2007). Library and information science education in Nigeria: Curricula contents versus cultural realities. </w:t>
      </w:r>
      <w:r w:rsidRPr="004A49F7">
        <w:rPr>
          <w:rFonts w:cs="Times New Roman"/>
          <w:i/>
          <w:szCs w:val="24"/>
        </w:rPr>
        <w:t>TheInternational Information &amp; Library Review</w:t>
      </w:r>
      <w:r w:rsidRPr="004A49F7">
        <w:rPr>
          <w:rFonts w:cs="Times New Roman"/>
          <w:szCs w:val="24"/>
        </w:rPr>
        <w:t>. 39, 121-133.</w:t>
      </w:r>
    </w:p>
    <w:p w:rsidR="00E41F70" w:rsidRPr="004A49F7" w:rsidRDefault="00E41F70" w:rsidP="004A49F7">
      <w:pPr>
        <w:pStyle w:val="ListeParagraf"/>
        <w:spacing w:after="0" w:line="240" w:lineRule="auto"/>
        <w:ind w:left="0"/>
        <w:contextualSpacing w:val="0"/>
        <w:rPr>
          <w:rFonts w:cs="Times New Roman"/>
          <w:szCs w:val="24"/>
        </w:rPr>
      </w:pPr>
    </w:p>
    <w:p w:rsidR="00394AEB" w:rsidRPr="004A49F7" w:rsidRDefault="00394AEB" w:rsidP="004A49F7">
      <w:pPr>
        <w:pStyle w:val="ListeParagraf"/>
        <w:spacing w:after="0" w:line="240" w:lineRule="auto"/>
        <w:ind w:left="0"/>
        <w:contextualSpacing w:val="0"/>
        <w:rPr>
          <w:rFonts w:cs="Times New Roman"/>
          <w:szCs w:val="24"/>
        </w:rPr>
      </w:pPr>
      <w:r w:rsidRPr="004A49F7">
        <w:rPr>
          <w:rFonts w:cs="Times New Roman"/>
          <w:szCs w:val="24"/>
        </w:rPr>
        <w:lastRenderedPageBreak/>
        <w:t xml:space="preserve">Edegbo, W. I. (2011). </w:t>
      </w:r>
      <w:r w:rsidRPr="004A49F7">
        <w:rPr>
          <w:rFonts w:cs="Times New Roman"/>
          <w:i/>
          <w:szCs w:val="24"/>
        </w:rPr>
        <w:t>Curriculum Development in Library and Information Science Education in Nigerian Universities: Issues and Prospects</w:t>
      </w:r>
      <w:r w:rsidR="004E4D43" w:rsidRPr="004A49F7">
        <w:rPr>
          <w:rFonts w:cs="Times New Roman"/>
          <w:szCs w:val="24"/>
        </w:rPr>
        <w:t>. 13</w:t>
      </w:r>
      <w:r w:rsidRPr="004A49F7">
        <w:rPr>
          <w:rFonts w:cs="Times New Roman"/>
          <w:szCs w:val="24"/>
        </w:rPr>
        <w:t>.0</w:t>
      </w:r>
      <w:r w:rsidR="004E4D43" w:rsidRPr="004A49F7">
        <w:rPr>
          <w:rFonts w:cs="Times New Roman"/>
          <w:szCs w:val="24"/>
        </w:rPr>
        <w:t>4</w:t>
      </w:r>
      <w:r w:rsidRPr="004A49F7">
        <w:rPr>
          <w:rFonts w:cs="Times New Roman"/>
          <w:szCs w:val="24"/>
        </w:rPr>
        <w:t>.2014 tarihinde http://digitalcommons.unl.edu/libphilprac/560 adresinden erişildi.</w:t>
      </w:r>
    </w:p>
    <w:p w:rsidR="00D17239" w:rsidRPr="004A49F7" w:rsidRDefault="00D17239" w:rsidP="004A49F7">
      <w:pPr>
        <w:pStyle w:val="ListeParagraf"/>
        <w:spacing w:after="0" w:line="240" w:lineRule="auto"/>
        <w:ind w:left="0"/>
        <w:contextualSpacing w:val="0"/>
        <w:rPr>
          <w:rFonts w:cs="Times New Roman"/>
          <w:szCs w:val="24"/>
        </w:rPr>
      </w:pPr>
    </w:p>
    <w:p w:rsidR="00D17239" w:rsidRPr="004A49F7" w:rsidRDefault="00D17239" w:rsidP="004A49F7">
      <w:pPr>
        <w:pStyle w:val="ListeParagraf"/>
        <w:spacing w:after="0" w:line="240" w:lineRule="auto"/>
        <w:ind w:left="0"/>
        <w:contextualSpacing w:val="0"/>
        <w:rPr>
          <w:rFonts w:cs="Times New Roman"/>
          <w:szCs w:val="24"/>
        </w:rPr>
      </w:pPr>
      <w:r w:rsidRPr="004A49F7">
        <w:rPr>
          <w:rFonts w:cs="Times New Roman"/>
          <w:szCs w:val="24"/>
        </w:rPr>
        <w:t>İstanbul Üniversitesi Eğitimde Yapılanma ve Yenilenme Bilgi Sistemi. 12.04.2014 tarihinde https://egitimdeyapilanma.istanbul.edu.tr/akademik/index.php?page=mufredat&amp;&amp;birim_id=36&amp;&amp;dil=tr adresinden erişildi.</w:t>
      </w:r>
    </w:p>
    <w:p w:rsidR="00D17239" w:rsidRPr="004A49F7" w:rsidRDefault="00D17239" w:rsidP="004A49F7">
      <w:pPr>
        <w:pStyle w:val="ListeParagraf"/>
        <w:spacing w:after="0" w:line="240" w:lineRule="auto"/>
        <w:ind w:left="0"/>
        <w:contextualSpacing w:val="0"/>
        <w:rPr>
          <w:rFonts w:cs="Times New Roman"/>
          <w:szCs w:val="24"/>
        </w:rPr>
      </w:pPr>
    </w:p>
    <w:p w:rsidR="00394AEB" w:rsidRPr="004A49F7" w:rsidRDefault="00394AEB" w:rsidP="004A49F7">
      <w:pPr>
        <w:pStyle w:val="ListeParagraf"/>
        <w:spacing w:after="0" w:line="240" w:lineRule="auto"/>
        <w:ind w:left="0"/>
        <w:contextualSpacing w:val="0"/>
        <w:rPr>
          <w:rFonts w:cs="Times New Roman"/>
          <w:szCs w:val="24"/>
        </w:rPr>
      </w:pPr>
      <w:r w:rsidRPr="004A49F7">
        <w:rPr>
          <w:rFonts w:cs="Times New Roman"/>
          <w:szCs w:val="24"/>
        </w:rPr>
        <w:t xml:space="preserve">Kargbo, J. A. (1999). Library Education and the Practitioner: The Sierra Leone Experience. </w:t>
      </w:r>
      <w:r w:rsidRPr="004A49F7">
        <w:rPr>
          <w:rFonts w:cs="Times New Roman"/>
          <w:i/>
          <w:szCs w:val="24"/>
        </w:rPr>
        <w:t>International Information &amp; Library Review</w:t>
      </w:r>
      <w:r w:rsidRPr="004A49F7">
        <w:rPr>
          <w:rFonts w:cs="Times New Roman"/>
          <w:szCs w:val="24"/>
        </w:rPr>
        <w:t>. 31, 97-103.</w:t>
      </w:r>
    </w:p>
    <w:p w:rsidR="00190E07" w:rsidRPr="004A49F7" w:rsidRDefault="00190E07" w:rsidP="004A49F7">
      <w:pPr>
        <w:pStyle w:val="ListeParagraf"/>
        <w:spacing w:after="0" w:line="240" w:lineRule="auto"/>
        <w:ind w:left="0"/>
        <w:contextualSpacing w:val="0"/>
        <w:rPr>
          <w:rFonts w:cs="Times New Roman"/>
          <w:szCs w:val="24"/>
        </w:rPr>
      </w:pPr>
    </w:p>
    <w:p w:rsidR="002357DD" w:rsidRPr="004A49F7" w:rsidRDefault="002357DD" w:rsidP="004A49F7">
      <w:pPr>
        <w:pStyle w:val="ListeParagraf"/>
        <w:spacing w:after="0" w:line="240" w:lineRule="auto"/>
        <w:ind w:left="0"/>
        <w:contextualSpacing w:val="0"/>
        <w:rPr>
          <w:rFonts w:cs="Times New Roman"/>
          <w:szCs w:val="24"/>
        </w:rPr>
      </w:pPr>
      <w:r w:rsidRPr="004A49F7">
        <w:rPr>
          <w:rFonts w:cs="Times New Roman"/>
          <w:szCs w:val="24"/>
        </w:rPr>
        <w:t xml:space="preserve">Lund University Department of Arts and Cultural Sciences. </w:t>
      </w:r>
      <w:r w:rsidRPr="004A49F7">
        <w:rPr>
          <w:rFonts w:cs="Times New Roman"/>
          <w:i/>
          <w:szCs w:val="24"/>
        </w:rPr>
        <w:t>Archival Studies Course Offerings</w:t>
      </w:r>
      <w:r w:rsidRPr="004A49F7">
        <w:rPr>
          <w:rFonts w:cs="Times New Roman"/>
          <w:szCs w:val="24"/>
        </w:rPr>
        <w:t>. 13.04.2014 tarihinde http://www.kultur.lu.se/media/utbildning/dokument/kursplaner/ABMA11_eng.pdf adresinden erişildi.</w:t>
      </w:r>
    </w:p>
    <w:p w:rsidR="00190E07" w:rsidRPr="004A49F7" w:rsidRDefault="00190E07" w:rsidP="004A49F7">
      <w:pPr>
        <w:pStyle w:val="ListeParagraf"/>
        <w:spacing w:after="0" w:line="240" w:lineRule="auto"/>
        <w:ind w:left="0"/>
        <w:contextualSpacing w:val="0"/>
        <w:rPr>
          <w:rFonts w:cs="Times New Roman"/>
          <w:szCs w:val="24"/>
        </w:rPr>
      </w:pPr>
    </w:p>
    <w:p w:rsidR="002357DD" w:rsidRPr="004A49F7" w:rsidRDefault="002357DD" w:rsidP="004A49F7">
      <w:pPr>
        <w:pStyle w:val="ListeParagraf"/>
        <w:spacing w:after="0" w:line="240" w:lineRule="auto"/>
        <w:ind w:left="0"/>
        <w:contextualSpacing w:val="0"/>
        <w:rPr>
          <w:rFonts w:cs="Times New Roman"/>
          <w:szCs w:val="24"/>
        </w:rPr>
      </w:pPr>
      <w:r w:rsidRPr="004A49F7">
        <w:rPr>
          <w:rFonts w:cs="Times New Roman"/>
          <w:szCs w:val="24"/>
        </w:rPr>
        <w:t xml:space="preserve">Manchester Metropolitan University. </w:t>
      </w:r>
      <w:r w:rsidRPr="004A49F7">
        <w:rPr>
          <w:rFonts w:cs="Times New Roman"/>
          <w:i/>
          <w:szCs w:val="24"/>
        </w:rPr>
        <w:t>Library and Information Management Courses</w:t>
      </w:r>
      <w:r w:rsidRPr="004A49F7">
        <w:rPr>
          <w:rFonts w:cs="Times New Roman"/>
          <w:szCs w:val="24"/>
        </w:rPr>
        <w:t>. 13.04.2014 tarihinde http://www2.mmu.ac.uk/study/postgraduate/taught/2013/10231/?course_id=10231 adresinden erişildi.</w:t>
      </w:r>
    </w:p>
    <w:p w:rsidR="002357DD" w:rsidRPr="004A49F7" w:rsidRDefault="002357DD" w:rsidP="004A49F7">
      <w:pPr>
        <w:pStyle w:val="ListeParagraf"/>
        <w:spacing w:after="0" w:line="240" w:lineRule="auto"/>
        <w:ind w:left="0"/>
        <w:contextualSpacing w:val="0"/>
        <w:rPr>
          <w:rFonts w:cs="Times New Roman"/>
          <w:szCs w:val="24"/>
        </w:rPr>
      </w:pPr>
    </w:p>
    <w:p w:rsidR="00394AEB" w:rsidRPr="004A49F7" w:rsidRDefault="00394AEB" w:rsidP="004A49F7">
      <w:pPr>
        <w:pStyle w:val="ListeParagraf"/>
        <w:spacing w:after="0" w:line="240" w:lineRule="auto"/>
        <w:ind w:left="0"/>
        <w:contextualSpacing w:val="0"/>
        <w:rPr>
          <w:rFonts w:cs="Times New Roman"/>
          <w:szCs w:val="24"/>
        </w:rPr>
      </w:pPr>
      <w:r w:rsidRPr="004A49F7">
        <w:rPr>
          <w:rFonts w:cs="Times New Roman"/>
          <w:szCs w:val="24"/>
        </w:rPr>
        <w:t xml:space="preserve">Mammo, Y. (2011). Rebirth of library and information science education in Ethiopia: Retrospectives and prospectives. </w:t>
      </w:r>
      <w:r w:rsidRPr="004A49F7">
        <w:rPr>
          <w:rFonts w:cs="Times New Roman"/>
          <w:i/>
          <w:szCs w:val="24"/>
        </w:rPr>
        <w:t>TheInternational Information &amp; Library Review</w:t>
      </w:r>
      <w:r w:rsidRPr="004A49F7">
        <w:rPr>
          <w:rFonts w:cs="Times New Roman"/>
          <w:szCs w:val="24"/>
        </w:rPr>
        <w:t>. 43, 110-120.</w:t>
      </w:r>
    </w:p>
    <w:p w:rsidR="00394AEB" w:rsidRPr="004A49F7" w:rsidRDefault="00394AEB" w:rsidP="004A49F7">
      <w:pPr>
        <w:pStyle w:val="ListeParagraf"/>
        <w:spacing w:after="0" w:line="240" w:lineRule="auto"/>
        <w:ind w:left="0"/>
        <w:contextualSpacing w:val="0"/>
        <w:rPr>
          <w:rFonts w:cs="Times New Roman"/>
          <w:szCs w:val="24"/>
        </w:rPr>
      </w:pPr>
    </w:p>
    <w:p w:rsidR="00394AEB" w:rsidRPr="004A49F7" w:rsidRDefault="00394AEB" w:rsidP="004A49F7">
      <w:pPr>
        <w:pStyle w:val="ListeParagraf"/>
        <w:spacing w:after="0" w:line="240" w:lineRule="auto"/>
        <w:ind w:left="0"/>
        <w:contextualSpacing w:val="0"/>
        <w:rPr>
          <w:rFonts w:cs="Times New Roman"/>
          <w:szCs w:val="24"/>
        </w:rPr>
      </w:pPr>
      <w:r w:rsidRPr="004A49F7">
        <w:rPr>
          <w:rFonts w:cs="Times New Roman"/>
          <w:szCs w:val="24"/>
        </w:rPr>
        <w:t xml:space="preserve">Mendez, E. M. ve Montero, A. E. (2007). Assessing information professionals in Dominican Republic: Are they prepared to deal with the new democratic libraries? </w:t>
      </w:r>
      <w:r w:rsidRPr="004A49F7">
        <w:rPr>
          <w:rFonts w:cs="Times New Roman"/>
          <w:i/>
          <w:szCs w:val="24"/>
        </w:rPr>
        <w:t>TheInternational Information &amp; Library Review</w:t>
      </w:r>
      <w:r w:rsidRPr="004A49F7">
        <w:rPr>
          <w:rFonts w:cs="Times New Roman"/>
          <w:szCs w:val="24"/>
        </w:rPr>
        <w:t>. 39, 89-102.</w:t>
      </w:r>
    </w:p>
    <w:p w:rsidR="00394AEB" w:rsidRPr="004A49F7" w:rsidRDefault="00394AEB" w:rsidP="004A49F7">
      <w:pPr>
        <w:pStyle w:val="ListeParagraf"/>
        <w:spacing w:after="0" w:line="240" w:lineRule="auto"/>
        <w:ind w:left="0"/>
        <w:contextualSpacing w:val="0"/>
        <w:rPr>
          <w:rFonts w:cs="Times New Roman"/>
          <w:szCs w:val="24"/>
        </w:rPr>
      </w:pPr>
    </w:p>
    <w:p w:rsidR="00394AEB" w:rsidRPr="004A49F7" w:rsidRDefault="00394AEB" w:rsidP="004A49F7">
      <w:pPr>
        <w:pStyle w:val="ListeParagraf"/>
        <w:spacing w:after="0" w:line="240" w:lineRule="auto"/>
        <w:ind w:left="0"/>
        <w:contextualSpacing w:val="0"/>
        <w:rPr>
          <w:rFonts w:cs="Times New Roman"/>
          <w:szCs w:val="24"/>
        </w:rPr>
      </w:pPr>
      <w:r w:rsidRPr="004A49F7">
        <w:rPr>
          <w:rFonts w:cs="Times New Roman"/>
          <w:szCs w:val="24"/>
        </w:rPr>
        <w:t xml:space="preserve">Meulemans, Y. N. ve Brown, J. (2001). Educating instruction librarians A model for Library and Information Science education. </w:t>
      </w:r>
      <w:r w:rsidRPr="004A49F7">
        <w:rPr>
          <w:rFonts w:cs="Times New Roman"/>
          <w:i/>
          <w:szCs w:val="24"/>
        </w:rPr>
        <w:t>Research Strategies</w:t>
      </w:r>
      <w:r w:rsidRPr="004A49F7">
        <w:rPr>
          <w:rFonts w:cs="Times New Roman"/>
          <w:szCs w:val="24"/>
        </w:rPr>
        <w:t>. 18,  253-264.</w:t>
      </w:r>
    </w:p>
    <w:p w:rsidR="00394AEB" w:rsidRPr="004A49F7" w:rsidRDefault="00394AEB" w:rsidP="004A49F7">
      <w:pPr>
        <w:pStyle w:val="ListeParagraf"/>
        <w:spacing w:after="0" w:line="240" w:lineRule="auto"/>
        <w:ind w:left="0"/>
        <w:contextualSpacing w:val="0"/>
        <w:rPr>
          <w:rFonts w:cs="Times New Roman"/>
          <w:szCs w:val="24"/>
        </w:rPr>
      </w:pPr>
    </w:p>
    <w:p w:rsidR="00394AEB" w:rsidRPr="004A49F7" w:rsidRDefault="00394AEB" w:rsidP="004A49F7">
      <w:pPr>
        <w:pStyle w:val="ListeParagraf"/>
        <w:spacing w:after="0" w:line="240" w:lineRule="auto"/>
        <w:ind w:left="0"/>
        <w:contextualSpacing w:val="0"/>
        <w:rPr>
          <w:rFonts w:cs="Times New Roman"/>
          <w:szCs w:val="24"/>
        </w:rPr>
      </w:pPr>
      <w:r w:rsidRPr="004A49F7">
        <w:rPr>
          <w:rFonts w:cs="Times New Roman"/>
          <w:szCs w:val="24"/>
        </w:rPr>
        <w:t xml:space="preserve">Noh, Younghee vd. (2012). A Study of Changes in the Library and Information Science Curriculum with Evaluation of Its Practically. </w:t>
      </w:r>
      <w:r w:rsidRPr="004A49F7">
        <w:rPr>
          <w:rFonts w:cs="Times New Roman"/>
          <w:i/>
          <w:szCs w:val="24"/>
        </w:rPr>
        <w:t>The Journal of Academic Librarianship</w:t>
      </w:r>
      <w:r w:rsidRPr="004A49F7">
        <w:rPr>
          <w:rFonts w:cs="Times New Roman"/>
          <w:szCs w:val="24"/>
        </w:rPr>
        <w:t>. 38(6), 348-364.</w:t>
      </w:r>
    </w:p>
    <w:p w:rsidR="00394AEB" w:rsidRPr="004A49F7" w:rsidRDefault="00394AEB" w:rsidP="004A49F7">
      <w:pPr>
        <w:pStyle w:val="ListeParagraf"/>
        <w:spacing w:after="0" w:line="240" w:lineRule="auto"/>
        <w:ind w:left="0"/>
        <w:contextualSpacing w:val="0"/>
        <w:rPr>
          <w:rFonts w:cs="Times New Roman"/>
          <w:szCs w:val="24"/>
        </w:rPr>
      </w:pPr>
    </w:p>
    <w:p w:rsidR="00394AEB" w:rsidRPr="004A49F7" w:rsidRDefault="00394AEB" w:rsidP="004A49F7">
      <w:pPr>
        <w:pStyle w:val="ListeParagraf"/>
        <w:spacing w:after="0" w:line="240" w:lineRule="auto"/>
        <w:ind w:left="0"/>
        <w:contextualSpacing w:val="0"/>
        <w:rPr>
          <w:rFonts w:cs="Times New Roman"/>
          <w:szCs w:val="24"/>
        </w:rPr>
      </w:pPr>
      <w:r w:rsidRPr="004A49F7">
        <w:rPr>
          <w:rFonts w:cs="Times New Roman"/>
          <w:szCs w:val="24"/>
        </w:rPr>
        <w:t>Noko, Phethehile ve Ngulube, Patrick. (2013). A vital feedback loop in educating and training archival professionals: a tracer study of records and archives mana</w:t>
      </w:r>
      <w:r w:rsidR="004E4D43" w:rsidRPr="004A49F7">
        <w:rPr>
          <w:rFonts w:cs="Times New Roman"/>
          <w:szCs w:val="24"/>
        </w:rPr>
        <w:t>gement graduates in Zimbabwe. 13.04</w:t>
      </w:r>
      <w:r w:rsidRPr="004A49F7">
        <w:rPr>
          <w:rFonts w:cs="Times New Roman"/>
          <w:szCs w:val="24"/>
        </w:rPr>
        <w:t>.2014 tarihinde http://idv.sagepub.com/content/early/2013/12/02/0266666913510308 adresinden erişildi.</w:t>
      </w:r>
    </w:p>
    <w:p w:rsidR="00D4235C" w:rsidRPr="004A49F7" w:rsidRDefault="00D4235C" w:rsidP="004A49F7">
      <w:pPr>
        <w:pStyle w:val="ListeParagraf"/>
        <w:spacing w:after="0" w:line="240" w:lineRule="auto"/>
        <w:ind w:left="0"/>
        <w:contextualSpacing w:val="0"/>
        <w:rPr>
          <w:rFonts w:cs="Times New Roman"/>
          <w:szCs w:val="24"/>
        </w:rPr>
      </w:pPr>
    </w:p>
    <w:p w:rsidR="00D4235C" w:rsidRPr="004A49F7" w:rsidRDefault="00D4235C" w:rsidP="004A49F7">
      <w:pPr>
        <w:pStyle w:val="ListeParagraf"/>
        <w:spacing w:after="0" w:line="240" w:lineRule="auto"/>
        <w:ind w:left="0"/>
        <w:contextualSpacing w:val="0"/>
        <w:rPr>
          <w:rFonts w:cs="Times New Roman"/>
          <w:szCs w:val="24"/>
        </w:rPr>
      </w:pPr>
      <w:r w:rsidRPr="004A49F7">
        <w:rPr>
          <w:rFonts w:cs="Times New Roman"/>
          <w:szCs w:val="24"/>
        </w:rPr>
        <w:t xml:space="preserve">The University of Rhode Island Harrington School of Communication and Media. </w:t>
      </w:r>
      <w:r w:rsidRPr="004A49F7">
        <w:rPr>
          <w:rFonts w:cs="Times New Roman"/>
          <w:i/>
          <w:szCs w:val="24"/>
        </w:rPr>
        <w:t>Master of Library and Information Science Requirements</w:t>
      </w:r>
      <w:r w:rsidRPr="004A49F7">
        <w:rPr>
          <w:rFonts w:cs="Times New Roman"/>
          <w:szCs w:val="24"/>
        </w:rPr>
        <w:t>. 13.04.2014 tarihinde http://harrington.uri.edu/graduate/library-information-studies/graduate-program/mlis-requirements/ adresinden erişildi.</w:t>
      </w:r>
    </w:p>
    <w:p w:rsidR="00D4235C" w:rsidRPr="004A49F7" w:rsidRDefault="00D4235C" w:rsidP="004A49F7">
      <w:pPr>
        <w:pStyle w:val="ListeParagraf"/>
        <w:spacing w:after="0" w:line="240" w:lineRule="auto"/>
        <w:ind w:left="0"/>
        <w:contextualSpacing w:val="0"/>
        <w:rPr>
          <w:rFonts w:cs="Times New Roman"/>
          <w:szCs w:val="24"/>
        </w:rPr>
      </w:pPr>
    </w:p>
    <w:p w:rsidR="00D4235C" w:rsidRPr="004A49F7" w:rsidRDefault="00D4235C" w:rsidP="004A49F7">
      <w:pPr>
        <w:pStyle w:val="ListeParagraf"/>
        <w:spacing w:after="0" w:line="240" w:lineRule="auto"/>
        <w:ind w:left="0"/>
        <w:contextualSpacing w:val="0"/>
        <w:rPr>
          <w:rFonts w:cs="Times New Roman"/>
          <w:szCs w:val="24"/>
        </w:rPr>
      </w:pPr>
      <w:r w:rsidRPr="004A49F7">
        <w:rPr>
          <w:rFonts w:cs="Times New Roman"/>
          <w:szCs w:val="24"/>
        </w:rPr>
        <w:t xml:space="preserve">The University of Rhode Island Harrington School of Communication and Media. </w:t>
      </w:r>
      <w:r w:rsidRPr="004A49F7">
        <w:rPr>
          <w:rFonts w:cs="Times New Roman"/>
          <w:i/>
          <w:szCs w:val="24"/>
        </w:rPr>
        <w:t xml:space="preserve">Master of Library and Information Science </w:t>
      </w:r>
      <w:r w:rsidRPr="004A49F7">
        <w:rPr>
          <w:rFonts w:eastAsia="Times New Roman" w:cs="Times New Roman"/>
          <w:bCs/>
          <w:i/>
          <w:color w:val="000000"/>
          <w:szCs w:val="24"/>
          <w:lang w:eastAsia="tr-TR"/>
        </w:rPr>
        <w:t>Library Internships and Professional Field Experiences</w:t>
      </w:r>
      <w:r w:rsidRPr="004A49F7">
        <w:rPr>
          <w:rFonts w:eastAsia="Times New Roman" w:cs="Times New Roman"/>
          <w:bCs/>
          <w:color w:val="000000"/>
          <w:szCs w:val="24"/>
          <w:lang w:eastAsia="tr-TR"/>
        </w:rPr>
        <w:t xml:space="preserve">. 13.04.2014 </w:t>
      </w:r>
      <w:r w:rsidRPr="004A49F7">
        <w:rPr>
          <w:rFonts w:eastAsia="Times New Roman" w:cs="Times New Roman"/>
          <w:bCs/>
          <w:color w:val="000000"/>
          <w:szCs w:val="24"/>
          <w:lang w:eastAsia="tr-TR"/>
        </w:rPr>
        <w:lastRenderedPageBreak/>
        <w:t>tarihinde</w:t>
      </w:r>
      <w:r w:rsidRPr="004A49F7">
        <w:rPr>
          <w:rFonts w:cs="Times New Roman"/>
          <w:szCs w:val="24"/>
        </w:rPr>
        <w:t>https://docs.google.com/a/my.uri.edu/spreadsheet/pub?key=0Agnh1XI0k5-ldDQ4Ql9WM2J4LVdkalM2bE1XbTBwZUE&amp;output=html adresinden erişildi.</w:t>
      </w:r>
    </w:p>
    <w:p w:rsidR="00394AEB" w:rsidRPr="004A49F7" w:rsidRDefault="00394AEB" w:rsidP="004A49F7">
      <w:pPr>
        <w:pStyle w:val="ListeParagraf"/>
        <w:spacing w:after="0" w:line="240" w:lineRule="auto"/>
        <w:ind w:left="0"/>
        <w:contextualSpacing w:val="0"/>
        <w:rPr>
          <w:rFonts w:cs="Times New Roman"/>
          <w:szCs w:val="24"/>
        </w:rPr>
      </w:pPr>
    </w:p>
    <w:p w:rsidR="00394AEB" w:rsidRPr="004A49F7" w:rsidRDefault="00394AEB" w:rsidP="004A49F7">
      <w:pPr>
        <w:pStyle w:val="ListeParagraf"/>
        <w:spacing w:after="0" w:line="240" w:lineRule="auto"/>
        <w:ind w:left="0"/>
        <w:contextualSpacing w:val="0"/>
        <w:rPr>
          <w:rFonts w:cs="Times New Roman"/>
          <w:szCs w:val="24"/>
        </w:rPr>
      </w:pPr>
      <w:r w:rsidRPr="004A49F7">
        <w:rPr>
          <w:rFonts w:cs="Times New Roman"/>
          <w:szCs w:val="24"/>
        </w:rPr>
        <w:t xml:space="preserve">Singh, V. ve Mehra, B. (2012). Strengths and weaknesses of the Information Technology curriculum in Library and Information Science graduate programs. </w:t>
      </w:r>
      <w:r w:rsidRPr="004A49F7">
        <w:rPr>
          <w:rFonts w:cs="Times New Roman"/>
          <w:i/>
          <w:szCs w:val="24"/>
        </w:rPr>
        <w:t>Journal of Librarianship and Information Science</w:t>
      </w:r>
      <w:r w:rsidRPr="004A49F7">
        <w:rPr>
          <w:rFonts w:cs="Times New Roman"/>
          <w:szCs w:val="24"/>
        </w:rPr>
        <w:t>. 45(3), 219-231.</w:t>
      </w:r>
    </w:p>
    <w:p w:rsidR="00AC058A" w:rsidRPr="004A49F7" w:rsidRDefault="00AC058A" w:rsidP="004A49F7">
      <w:pPr>
        <w:pStyle w:val="ListeParagraf"/>
        <w:spacing w:after="0" w:line="240" w:lineRule="auto"/>
        <w:ind w:left="0"/>
        <w:contextualSpacing w:val="0"/>
        <w:rPr>
          <w:rFonts w:cs="Times New Roman"/>
          <w:szCs w:val="24"/>
        </w:rPr>
      </w:pPr>
    </w:p>
    <w:p w:rsidR="00AC058A" w:rsidRPr="004A49F7" w:rsidRDefault="00AC058A" w:rsidP="004A49F7">
      <w:pPr>
        <w:autoSpaceDE w:val="0"/>
        <w:autoSpaceDN w:val="0"/>
        <w:adjustRightInd w:val="0"/>
        <w:spacing w:after="0" w:line="240" w:lineRule="auto"/>
        <w:rPr>
          <w:rFonts w:cs="Times New Roman"/>
          <w:szCs w:val="24"/>
        </w:rPr>
      </w:pPr>
      <w:r w:rsidRPr="004A49F7">
        <w:rPr>
          <w:rFonts w:cs="Times New Roman"/>
          <w:szCs w:val="24"/>
        </w:rPr>
        <w:t xml:space="preserve">Tonta, Y. (2012). Hacettepe Üniversitesi Bilgi ve Belge Yönetimi Bölümü Lisans Programının Güncelleştirilmesi (2009-2011). </w:t>
      </w:r>
      <w:r w:rsidRPr="004A49F7">
        <w:rPr>
          <w:rFonts w:cs="Times New Roman"/>
          <w:i/>
          <w:szCs w:val="24"/>
        </w:rPr>
        <w:t>Türk Kütüphaneciliği</w:t>
      </w:r>
      <w:r w:rsidRPr="004A49F7">
        <w:rPr>
          <w:rFonts w:cs="Times New Roman"/>
          <w:szCs w:val="24"/>
        </w:rPr>
        <w:t>. 26(2), 291-314.</w:t>
      </w:r>
    </w:p>
    <w:p w:rsidR="00AC058A" w:rsidRPr="004A49F7" w:rsidRDefault="00AC058A" w:rsidP="004A49F7">
      <w:pPr>
        <w:pStyle w:val="ListeParagraf"/>
        <w:spacing w:after="0" w:line="240" w:lineRule="auto"/>
        <w:ind w:left="0"/>
        <w:contextualSpacing w:val="0"/>
        <w:rPr>
          <w:rFonts w:cs="Times New Roman"/>
          <w:szCs w:val="24"/>
        </w:rPr>
      </w:pPr>
    </w:p>
    <w:p w:rsidR="00AC058A" w:rsidRPr="004A49F7" w:rsidRDefault="00AC058A" w:rsidP="004A49F7">
      <w:pPr>
        <w:autoSpaceDE w:val="0"/>
        <w:autoSpaceDN w:val="0"/>
        <w:adjustRightInd w:val="0"/>
        <w:spacing w:after="0" w:line="240" w:lineRule="auto"/>
        <w:rPr>
          <w:rFonts w:cs="Times New Roman"/>
          <w:szCs w:val="24"/>
        </w:rPr>
      </w:pPr>
      <w:r w:rsidRPr="004A49F7">
        <w:rPr>
          <w:rFonts w:cs="Times New Roman"/>
          <w:szCs w:val="24"/>
        </w:rPr>
        <w:t xml:space="preserve">Tuncer, N. (2007). Kütüphanecilik eğitiminde değişen ufuklar: Hacettepe Üniversitesi Kütüphanecilik Bölümünün ilk onbeş yılı. </w:t>
      </w:r>
      <w:r w:rsidRPr="004A49F7">
        <w:rPr>
          <w:rFonts w:cs="Times New Roman"/>
          <w:i/>
          <w:iCs/>
          <w:szCs w:val="24"/>
        </w:rPr>
        <w:t xml:space="preserve">Değişen Dünyada Bilgi Yönetimi Sempozyumu, 24-26 Ekim 2007, Ankara. Bildiriler </w:t>
      </w:r>
      <w:r w:rsidRPr="004A49F7">
        <w:rPr>
          <w:rFonts w:cs="Times New Roman"/>
          <w:szCs w:val="24"/>
        </w:rPr>
        <w:t>içinde (ss. 13-18). Kurbanoğlu,S. vd (Yay. Haz.). Ankara: Hacettepe Üniversitesi Bi</w:t>
      </w:r>
      <w:r w:rsidR="004E4D43" w:rsidRPr="004A49F7">
        <w:rPr>
          <w:rFonts w:cs="Times New Roman"/>
          <w:szCs w:val="24"/>
        </w:rPr>
        <w:t>lgi ve Belge Yönetimi Bölümü. 05</w:t>
      </w:r>
      <w:r w:rsidRPr="004A49F7">
        <w:rPr>
          <w:rFonts w:cs="Times New Roman"/>
          <w:szCs w:val="24"/>
        </w:rPr>
        <w:t>.0</w:t>
      </w:r>
      <w:r w:rsidR="004E4D43" w:rsidRPr="004A49F7">
        <w:rPr>
          <w:rFonts w:cs="Times New Roman"/>
          <w:szCs w:val="24"/>
        </w:rPr>
        <w:t>4</w:t>
      </w:r>
      <w:r w:rsidRPr="004A49F7">
        <w:rPr>
          <w:rFonts w:cs="Times New Roman"/>
          <w:szCs w:val="24"/>
        </w:rPr>
        <w:t>.2014 tarihinde http://by2007.bilgiyonetimi.net/bildiriler/tuncer.pdf adresinden erişildi.</w:t>
      </w:r>
    </w:p>
    <w:p w:rsidR="004E4D43" w:rsidRPr="004A49F7" w:rsidRDefault="004E4D43" w:rsidP="004A49F7">
      <w:pPr>
        <w:autoSpaceDE w:val="0"/>
        <w:autoSpaceDN w:val="0"/>
        <w:adjustRightInd w:val="0"/>
        <w:spacing w:after="0" w:line="240" w:lineRule="auto"/>
        <w:rPr>
          <w:rFonts w:cs="Times New Roman"/>
          <w:szCs w:val="24"/>
        </w:rPr>
      </w:pPr>
    </w:p>
    <w:p w:rsidR="004E4D43" w:rsidRPr="004A49F7" w:rsidRDefault="004E4D43" w:rsidP="004A49F7">
      <w:pPr>
        <w:autoSpaceDE w:val="0"/>
        <w:autoSpaceDN w:val="0"/>
        <w:adjustRightInd w:val="0"/>
        <w:spacing w:after="0" w:line="240" w:lineRule="auto"/>
        <w:rPr>
          <w:rFonts w:cs="Times New Roman"/>
          <w:szCs w:val="24"/>
        </w:rPr>
      </w:pPr>
      <w:r w:rsidRPr="004A49F7">
        <w:rPr>
          <w:rFonts w:cs="Times New Roman"/>
          <w:szCs w:val="24"/>
        </w:rPr>
        <w:t>Türk Dil Kurumu. Güncel Türkçe Sözlük.</w:t>
      </w:r>
      <w:r w:rsidR="009115DA" w:rsidRPr="004A49F7">
        <w:rPr>
          <w:rFonts w:cs="Times New Roman"/>
          <w:szCs w:val="24"/>
        </w:rPr>
        <w:t xml:space="preserve"> 06.04.2014 tarihinde http://tdk.org.tr/index.php?option=com_gts&amp;arama=gts&amp;guid=TDK.GTS.53768589209420.74995779 adresinden erişildi.</w:t>
      </w:r>
    </w:p>
    <w:p w:rsidR="009115DA" w:rsidRPr="004A49F7" w:rsidRDefault="009115DA" w:rsidP="004A49F7">
      <w:pPr>
        <w:autoSpaceDE w:val="0"/>
        <w:autoSpaceDN w:val="0"/>
        <w:adjustRightInd w:val="0"/>
        <w:spacing w:after="0" w:line="240" w:lineRule="auto"/>
        <w:rPr>
          <w:rFonts w:cs="Times New Roman"/>
          <w:szCs w:val="24"/>
        </w:rPr>
      </w:pPr>
    </w:p>
    <w:p w:rsidR="009115DA" w:rsidRPr="004A49F7" w:rsidRDefault="009115DA" w:rsidP="004A49F7">
      <w:pPr>
        <w:autoSpaceDE w:val="0"/>
        <w:autoSpaceDN w:val="0"/>
        <w:adjustRightInd w:val="0"/>
        <w:spacing w:after="0" w:line="240" w:lineRule="auto"/>
        <w:rPr>
          <w:rFonts w:cs="Times New Roman"/>
          <w:szCs w:val="24"/>
        </w:rPr>
      </w:pPr>
      <w:r w:rsidRPr="004A49F7">
        <w:rPr>
          <w:rFonts w:cs="Times New Roman"/>
          <w:szCs w:val="24"/>
        </w:rPr>
        <w:t>Türkiye Bilimler Akademisi. Türkçe Bilim Terimleri Sözlüğü. 06.04.2014 tarihinde http://www.tubaterim.gov.tr/ adresinden erişildi.</w:t>
      </w:r>
    </w:p>
    <w:p w:rsidR="00FE0D7E" w:rsidRPr="004A49F7" w:rsidRDefault="00FE0D7E" w:rsidP="004A49F7">
      <w:pPr>
        <w:autoSpaceDE w:val="0"/>
        <w:autoSpaceDN w:val="0"/>
        <w:adjustRightInd w:val="0"/>
        <w:spacing w:after="0" w:line="240" w:lineRule="auto"/>
        <w:rPr>
          <w:rFonts w:cs="Times New Roman"/>
          <w:szCs w:val="24"/>
        </w:rPr>
      </w:pPr>
    </w:p>
    <w:p w:rsidR="00C47EA3" w:rsidRPr="004A49F7" w:rsidRDefault="00FE0D7E" w:rsidP="004A49F7">
      <w:pPr>
        <w:pStyle w:val="ListeParagraf"/>
        <w:spacing w:after="0" w:line="240" w:lineRule="auto"/>
        <w:ind w:left="0"/>
        <w:contextualSpacing w:val="0"/>
        <w:rPr>
          <w:rFonts w:cs="Times New Roman"/>
          <w:szCs w:val="24"/>
        </w:rPr>
      </w:pPr>
      <w:r w:rsidRPr="004A49F7">
        <w:rPr>
          <w:rFonts w:cs="Times New Roman"/>
          <w:szCs w:val="24"/>
        </w:rPr>
        <w:t xml:space="preserve">University of British Columbia School of Library, Archival &amp; Information Studies. </w:t>
      </w:r>
      <w:r w:rsidRPr="004A49F7">
        <w:rPr>
          <w:rFonts w:cs="Times New Roman"/>
          <w:i/>
          <w:szCs w:val="24"/>
        </w:rPr>
        <w:t>Course Descriptions</w:t>
      </w:r>
      <w:r w:rsidRPr="004A49F7">
        <w:rPr>
          <w:rFonts w:cs="Times New Roman"/>
          <w:szCs w:val="24"/>
        </w:rPr>
        <w:t>. 13.04.2014 tarihinde http://www.slais.ubc.ca/courses/experiential-hosts.htm adresinden erişildi.</w:t>
      </w:r>
    </w:p>
    <w:p w:rsidR="004E4D43" w:rsidRPr="004A49F7" w:rsidRDefault="004E4D43" w:rsidP="004A49F7">
      <w:pPr>
        <w:pStyle w:val="ListeParagraf"/>
        <w:spacing w:after="0" w:line="240" w:lineRule="auto"/>
        <w:ind w:left="0"/>
        <w:contextualSpacing w:val="0"/>
        <w:rPr>
          <w:rFonts w:cs="Times New Roman"/>
          <w:szCs w:val="24"/>
        </w:rPr>
      </w:pPr>
    </w:p>
    <w:p w:rsidR="00077D26" w:rsidRPr="004A49F7" w:rsidRDefault="00077D26" w:rsidP="004A49F7">
      <w:pPr>
        <w:pStyle w:val="ListeParagraf"/>
        <w:spacing w:after="0" w:line="240" w:lineRule="auto"/>
        <w:ind w:left="0"/>
        <w:contextualSpacing w:val="0"/>
        <w:rPr>
          <w:rFonts w:cs="Times New Roman"/>
          <w:szCs w:val="24"/>
        </w:rPr>
      </w:pPr>
      <w:r w:rsidRPr="004A49F7">
        <w:rPr>
          <w:rFonts w:cs="Times New Roman"/>
          <w:szCs w:val="24"/>
        </w:rPr>
        <w:t xml:space="preserve">Varol, Dilek. (2003). Staj Uygulamaları Üzerine Kişisel Gözlemler. </w:t>
      </w:r>
      <w:r w:rsidRPr="004A49F7">
        <w:rPr>
          <w:rFonts w:cs="Times New Roman"/>
          <w:i/>
          <w:szCs w:val="24"/>
        </w:rPr>
        <w:t>Türk Kütüphaneciliği</w:t>
      </w:r>
      <w:r w:rsidRPr="004A49F7">
        <w:rPr>
          <w:rFonts w:cs="Times New Roman"/>
          <w:szCs w:val="24"/>
        </w:rPr>
        <w:t>. 17(2), 199-200.</w:t>
      </w:r>
    </w:p>
    <w:p w:rsidR="00394AEB" w:rsidRPr="004A49F7" w:rsidRDefault="00394AEB" w:rsidP="004A49F7">
      <w:pPr>
        <w:pStyle w:val="ListeParagraf"/>
        <w:spacing w:after="0" w:line="240" w:lineRule="auto"/>
        <w:ind w:left="0"/>
        <w:contextualSpacing w:val="0"/>
        <w:rPr>
          <w:rFonts w:cs="Times New Roman"/>
          <w:szCs w:val="24"/>
        </w:rPr>
      </w:pPr>
    </w:p>
    <w:p w:rsidR="00394AEB" w:rsidRPr="004A49F7" w:rsidRDefault="00394AEB" w:rsidP="004A49F7">
      <w:pPr>
        <w:pStyle w:val="ListeParagraf"/>
        <w:spacing w:after="0" w:line="240" w:lineRule="auto"/>
        <w:ind w:left="0"/>
        <w:contextualSpacing w:val="0"/>
        <w:rPr>
          <w:rFonts w:cs="Times New Roman"/>
          <w:szCs w:val="24"/>
        </w:rPr>
      </w:pPr>
      <w:r w:rsidRPr="004A49F7">
        <w:rPr>
          <w:rFonts w:cs="Times New Roman"/>
          <w:szCs w:val="24"/>
        </w:rPr>
        <w:t xml:space="preserve">Xiayoing, Dong. (1997). Transition of Library and Information Science Education in China: Problems and Perspective. </w:t>
      </w:r>
      <w:r w:rsidRPr="004A49F7">
        <w:rPr>
          <w:rFonts w:cs="Times New Roman"/>
          <w:i/>
          <w:szCs w:val="24"/>
        </w:rPr>
        <w:t>International Information &amp; Library Review</w:t>
      </w:r>
      <w:r w:rsidRPr="004A49F7">
        <w:rPr>
          <w:rFonts w:cs="Times New Roman"/>
          <w:szCs w:val="24"/>
        </w:rPr>
        <w:t>. 29: 1-12.</w:t>
      </w:r>
    </w:p>
    <w:p w:rsidR="00684A64" w:rsidRPr="004A49F7" w:rsidRDefault="00684A64" w:rsidP="004A49F7">
      <w:pPr>
        <w:pStyle w:val="ListeParagraf"/>
        <w:spacing w:after="0" w:line="240" w:lineRule="auto"/>
        <w:ind w:left="0"/>
        <w:contextualSpacing w:val="0"/>
        <w:rPr>
          <w:rFonts w:cs="Times New Roman"/>
          <w:szCs w:val="24"/>
        </w:rPr>
      </w:pPr>
    </w:p>
    <w:p w:rsidR="00684A64" w:rsidRPr="004A49F7" w:rsidRDefault="00684A64" w:rsidP="004A49F7">
      <w:pPr>
        <w:pStyle w:val="ListeParagraf"/>
        <w:spacing w:after="0" w:line="240" w:lineRule="auto"/>
        <w:ind w:left="0"/>
        <w:contextualSpacing w:val="0"/>
        <w:rPr>
          <w:rFonts w:cs="Times New Roman"/>
          <w:szCs w:val="24"/>
        </w:rPr>
      </w:pPr>
      <w:r w:rsidRPr="004A49F7">
        <w:rPr>
          <w:rFonts w:cs="Times New Roman"/>
          <w:szCs w:val="24"/>
        </w:rPr>
        <w:t>12.04.2014 tarihinde Marmara Üniversitesi Bilgi ve Belge Yönetimi Bölümü Araştırma Görevlisi Varol Saydam ile yapılan görüşme.</w:t>
      </w:r>
    </w:p>
    <w:p w:rsidR="00684A64" w:rsidRPr="004A49F7" w:rsidRDefault="00684A64" w:rsidP="004A49F7">
      <w:pPr>
        <w:pStyle w:val="ListeParagraf"/>
        <w:spacing w:after="0" w:line="240" w:lineRule="auto"/>
        <w:ind w:left="0"/>
        <w:contextualSpacing w:val="0"/>
        <w:rPr>
          <w:rFonts w:cs="Times New Roman"/>
          <w:szCs w:val="24"/>
        </w:rPr>
      </w:pPr>
    </w:p>
    <w:p w:rsidR="00684A64" w:rsidRPr="004A49F7" w:rsidRDefault="00684A64" w:rsidP="004A49F7">
      <w:pPr>
        <w:pStyle w:val="ListeParagraf"/>
        <w:spacing w:after="0" w:line="240" w:lineRule="auto"/>
        <w:ind w:left="0"/>
        <w:contextualSpacing w:val="0"/>
        <w:rPr>
          <w:rFonts w:cs="Times New Roman"/>
          <w:szCs w:val="24"/>
        </w:rPr>
      </w:pPr>
      <w:r w:rsidRPr="004A49F7">
        <w:rPr>
          <w:rFonts w:cs="Times New Roman"/>
          <w:szCs w:val="24"/>
        </w:rPr>
        <w:t>13.04.2014 tarihinde Hacettepe Üniversitesi BBY Bölümü Araştırma Görevlisi Tolga Çakmak ile yapılan görüşme.</w:t>
      </w:r>
    </w:p>
    <w:p w:rsidR="00684A64" w:rsidRPr="004A49F7" w:rsidRDefault="00684A64" w:rsidP="004A49F7">
      <w:pPr>
        <w:pStyle w:val="ListeParagraf"/>
        <w:spacing w:after="0" w:line="240" w:lineRule="auto"/>
        <w:ind w:left="0"/>
        <w:contextualSpacing w:val="0"/>
        <w:rPr>
          <w:rFonts w:cs="Times New Roman"/>
          <w:szCs w:val="24"/>
        </w:rPr>
      </w:pPr>
    </w:p>
    <w:p w:rsidR="009115DA" w:rsidRPr="004A49F7" w:rsidRDefault="00684A64" w:rsidP="004A49F7">
      <w:pPr>
        <w:pStyle w:val="ListeParagraf"/>
        <w:spacing w:after="0" w:line="240" w:lineRule="auto"/>
        <w:ind w:left="0"/>
        <w:contextualSpacing w:val="0"/>
        <w:rPr>
          <w:rFonts w:cs="Times New Roman"/>
          <w:szCs w:val="24"/>
        </w:rPr>
      </w:pPr>
      <w:r w:rsidRPr="004A49F7">
        <w:rPr>
          <w:rFonts w:cs="Times New Roman"/>
          <w:szCs w:val="24"/>
        </w:rPr>
        <w:t>23.04.2014 tarihinde Yakındoğu Üniversitesi Bilgi ve Belge Yönetimi Bölüm Başkanı Doç. Dr. Mustafa Sağsan ile yapılan görüşme.</w:t>
      </w:r>
    </w:p>
    <w:p w:rsidR="009115DA" w:rsidRPr="004A49F7" w:rsidRDefault="009115DA" w:rsidP="004A49F7">
      <w:pPr>
        <w:pStyle w:val="ListeParagraf"/>
        <w:spacing w:after="0" w:line="240" w:lineRule="auto"/>
        <w:ind w:left="0"/>
        <w:contextualSpacing w:val="0"/>
        <w:rPr>
          <w:rFonts w:cs="Times New Roman"/>
          <w:szCs w:val="24"/>
        </w:rPr>
      </w:pPr>
    </w:p>
    <w:p w:rsidR="00077D26" w:rsidRPr="004A49F7" w:rsidRDefault="002A1AE8" w:rsidP="004A49F7">
      <w:pPr>
        <w:pStyle w:val="ListeParagraf"/>
        <w:spacing w:after="0" w:line="240" w:lineRule="auto"/>
        <w:ind w:left="0"/>
        <w:contextualSpacing w:val="0"/>
        <w:rPr>
          <w:rFonts w:cs="Times New Roman"/>
          <w:szCs w:val="24"/>
        </w:rPr>
      </w:pPr>
      <w:r w:rsidRPr="004A49F7">
        <w:rPr>
          <w:rFonts w:cs="Times New Roman"/>
          <w:szCs w:val="24"/>
        </w:rPr>
        <w:t>10.05.2014 tarihinde Atatürk Üniversitesi Bilgi ve Belge Yönetimi Bölümü Bölüm Başkanı Doç. Dr. Hüseyin Odabaş ile yapılan görüşme.</w:t>
      </w:r>
    </w:p>
    <w:p w:rsidR="00077D26" w:rsidRPr="00077D26" w:rsidRDefault="00077D26" w:rsidP="00B3733A">
      <w:pPr>
        <w:spacing w:after="0"/>
      </w:pPr>
    </w:p>
    <w:sectPr w:rsidR="00077D26" w:rsidRPr="00077D26" w:rsidSect="00110CC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9F7" w:rsidRDefault="004A49F7" w:rsidP="00C93A46">
      <w:pPr>
        <w:spacing w:after="0" w:line="240" w:lineRule="auto"/>
      </w:pPr>
      <w:r>
        <w:separator/>
      </w:r>
    </w:p>
  </w:endnote>
  <w:endnote w:type="continuationSeparator" w:id="1">
    <w:p w:rsidR="004A49F7" w:rsidRDefault="004A49F7" w:rsidP="00C93A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9F7" w:rsidRDefault="004A49F7" w:rsidP="00C93A46">
      <w:pPr>
        <w:spacing w:after="0" w:line="240" w:lineRule="auto"/>
      </w:pPr>
      <w:r>
        <w:separator/>
      </w:r>
    </w:p>
  </w:footnote>
  <w:footnote w:type="continuationSeparator" w:id="1">
    <w:p w:rsidR="004A49F7" w:rsidRDefault="004A49F7" w:rsidP="00C93A46">
      <w:pPr>
        <w:spacing w:after="0" w:line="240" w:lineRule="auto"/>
      </w:pPr>
      <w:r>
        <w:continuationSeparator/>
      </w:r>
    </w:p>
  </w:footnote>
  <w:footnote w:id="2">
    <w:p w:rsidR="004A49F7" w:rsidRDefault="004A49F7">
      <w:pPr>
        <w:pStyle w:val="DipnotMetni"/>
      </w:pPr>
      <w:r>
        <w:rPr>
          <w:rStyle w:val="DipnotBavurusu"/>
        </w:rPr>
        <w:footnoteRef/>
      </w:r>
      <w:r>
        <w:t xml:space="preserve"> İstanbul Üniversitesi Kütüphane ve Dokümantasyon Daire Başkanlığı, ozhan.saglik@istanbul.edu.tr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268C4"/>
    <w:multiLevelType w:val="hybridMultilevel"/>
    <w:tmpl w:val="43D807E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431D716C"/>
    <w:multiLevelType w:val="hybridMultilevel"/>
    <w:tmpl w:val="0F72EB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72C0A6E"/>
    <w:multiLevelType w:val="hybridMultilevel"/>
    <w:tmpl w:val="BFEEBFF6"/>
    <w:lvl w:ilvl="0" w:tplc="F80A57CA">
      <w:start w:val="1"/>
      <w:numFmt w:val="bullet"/>
      <w:lvlText w:val=""/>
      <w:lvlJc w:val="left"/>
      <w:pPr>
        <w:tabs>
          <w:tab w:val="num" w:pos="720"/>
        </w:tabs>
        <w:ind w:left="720" w:hanging="360"/>
      </w:pPr>
      <w:rPr>
        <w:rFonts w:ascii="Wingdings" w:hAnsi="Wingdings" w:hint="default"/>
      </w:rPr>
    </w:lvl>
    <w:lvl w:ilvl="1" w:tplc="6CC88FD4" w:tentative="1">
      <w:start w:val="1"/>
      <w:numFmt w:val="bullet"/>
      <w:lvlText w:val=""/>
      <w:lvlJc w:val="left"/>
      <w:pPr>
        <w:tabs>
          <w:tab w:val="num" w:pos="1440"/>
        </w:tabs>
        <w:ind w:left="1440" w:hanging="360"/>
      </w:pPr>
      <w:rPr>
        <w:rFonts w:ascii="Wingdings" w:hAnsi="Wingdings" w:hint="default"/>
      </w:rPr>
    </w:lvl>
    <w:lvl w:ilvl="2" w:tplc="5C2C803A" w:tentative="1">
      <w:start w:val="1"/>
      <w:numFmt w:val="bullet"/>
      <w:lvlText w:val=""/>
      <w:lvlJc w:val="left"/>
      <w:pPr>
        <w:tabs>
          <w:tab w:val="num" w:pos="2160"/>
        </w:tabs>
        <w:ind w:left="2160" w:hanging="360"/>
      </w:pPr>
      <w:rPr>
        <w:rFonts w:ascii="Wingdings" w:hAnsi="Wingdings" w:hint="default"/>
      </w:rPr>
    </w:lvl>
    <w:lvl w:ilvl="3" w:tplc="9C0606A6" w:tentative="1">
      <w:start w:val="1"/>
      <w:numFmt w:val="bullet"/>
      <w:lvlText w:val=""/>
      <w:lvlJc w:val="left"/>
      <w:pPr>
        <w:tabs>
          <w:tab w:val="num" w:pos="2880"/>
        </w:tabs>
        <w:ind w:left="2880" w:hanging="360"/>
      </w:pPr>
      <w:rPr>
        <w:rFonts w:ascii="Wingdings" w:hAnsi="Wingdings" w:hint="default"/>
      </w:rPr>
    </w:lvl>
    <w:lvl w:ilvl="4" w:tplc="5F604324" w:tentative="1">
      <w:start w:val="1"/>
      <w:numFmt w:val="bullet"/>
      <w:lvlText w:val=""/>
      <w:lvlJc w:val="left"/>
      <w:pPr>
        <w:tabs>
          <w:tab w:val="num" w:pos="3600"/>
        </w:tabs>
        <w:ind w:left="3600" w:hanging="360"/>
      </w:pPr>
      <w:rPr>
        <w:rFonts w:ascii="Wingdings" w:hAnsi="Wingdings" w:hint="default"/>
      </w:rPr>
    </w:lvl>
    <w:lvl w:ilvl="5" w:tplc="3314F250" w:tentative="1">
      <w:start w:val="1"/>
      <w:numFmt w:val="bullet"/>
      <w:lvlText w:val=""/>
      <w:lvlJc w:val="left"/>
      <w:pPr>
        <w:tabs>
          <w:tab w:val="num" w:pos="4320"/>
        </w:tabs>
        <w:ind w:left="4320" w:hanging="360"/>
      </w:pPr>
      <w:rPr>
        <w:rFonts w:ascii="Wingdings" w:hAnsi="Wingdings" w:hint="default"/>
      </w:rPr>
    </w:lvl>
    <w:lvl w:ilvl="6" w:tplc="77C682D2" w:tentative="1">
      <w:start w:val="1"/>
      <w:numFmt w:val="bullet"/>
      <w:lvlText w:val=""/>
      <w:lvlJc w:val="left"/>
      <w:pPr>
        <w:tabs>
          <w:tab w:val="num" w:pos="5040"/>
        </w:tabs>
        <w:ind w:left="5040" w:hanging="360"/>
      </w:pPr>
      <w:rPr>
        <w:rFonts w:ascii="Wingdings" w:hAnsi="Wingdings" w:hint="default"/>
      </w:rPr>
    </w:lvl>
    <w:lvl w:ilvl="7" w:tplc="16C04C78" w:tentative="1">
      <w:start w:val="1"/>
      <w:numFmt w:val="bullet"/>
      <w:lvlText w:val=""/>
      <w:lvlJc w:val="left"/>
      <w:pPr>
        <w:tabs>
          <w:tab w:val="num" w:pos="5760"/>
        </w:tabs>
        <w:ind w:left="5760" w:hanging="360"/>
      </w:pPr>
      <w:rPr>
        <w:rFonts w:ascii="Wingdings" w:hAnsi="Wingdings" w:hint="default"/>
      </w:rPr>
    </w:lvl>
    <w:lvl w:ilvl="8" w:tplc="0CD6F3C6" w:tentative="1">
      <w:start w:val="1"/>
      <w:numFmt w:val="bullet"/>
      <w:lvlText w:val=""/>
      <w:lvlJc w:val="left"/>
      <w:pPr>
        <w:tabs>
          <w:tab w:val="num" w:pos="6480"/>
        </w:tabs>
        <w:ind w:left="6480" w:hanging="360"/>
      </w:pPr>
      <w:rPr>
        <w:rFonts w:ascii="Wingdings" w:hAnsi="Wingdings" w:hint="default"/>
      </w:rPr>
    </w:lvl>
  </w:abstractNum>
  <w:abstractNum w:abstractNumId="3">
    <w:nsid w:val="5B482E17"/>
    <w:multiLevelType w:val="hybridMultilevel"/>
    <w:tmpl w:val="C494DECE"/>
    <w:lvl w:ilvl="0" w:tplc="041F0001">
      <w:start w:val="1"/>
      <w:numFmt w:val="bullet"/>
      <w:lvlText w:val=""/>
      <w:lvlJc w:val="left"/>
      <w:pPr>
        <w:ind w:left="2421" w:hanging="360"/>
      </w:pPr>
      <w:rPr>
        <w:rFonts w:ascii="Symbol" w:hAnsi="Symbol" w:hint="default"/>
      </w:rPr>
    </w:lvl>
    <w:lvl w:ilvl="1" w:tplc="041F0003" w:tentative="1">
      <w:start w:val="1"/>
      <w:numFmt w:val="bullet"/>
      <w:lvlText w:val="o"/>
      <w:lvlJc w:val="left"/>
      <w:pPr>
        <w:ind w:left="3141" w:hanging="360"/>
      </w:pPr>
      <w:rPr>
        <w:rFonts w:ascii="Courier New" w:hAnsi="Courier New" w:cs="Courier New" w:hint="default"/>
      </w:rPr>
    </w:lvl>
    <w:lvl w:ilvl="2" w:tplc="041F0005" w:tentative="1">
      <w:start w:val="1"/>
      <w:numFmt w:val="bullet"/>
      <w:lvlText w:val=""/>
      <w:lvlJc w:val="left"/>
      <w:pPr>
        <w:ind w:left="3861" w:hanging="360"/>
      </w:pPr>
      <w:rPr>
        <w:rFonts w:ascii="Wingdings" w:hAnsi="Wingdings" w:hint="default"/>
      </w:rPr>
    </w:lvl>
    <w:lvl w:ilvl="3" w:tplc="041F0001" w:tentative="1">
      <w:start w:val="1"/>
      <w:numFmt w:val="bullet"/>
      <w:lvlText w:val=""/>
      <w:lvlJc w:val="left"/>
      <w:pPr>
        <w:ind w:left="4581" w:hanging="360"/>
      </w:pPr>
      <w:rPr>
        <w:rFonts w:ascii="Symbol" w:hAnsi="Symbol" w:hint="default"/>
      </w:rPr>
    </w:lvl>
    <w:lvl w:ilvl="4" w:tplc="041F0003" w:tentative="1">
      <w:start w:val="1"/>
      <w:numFmt w:val="bullet"/>
      <w:lvlText w:val="o"/>
      <w:lvlJc w:val="left"/>
      <w:pPr>
        <w:ind w:left="5301" w:hanging="360"/>
      </w:pPr>
      <w:rPr>
        <w:rFonts w:ascii="Courier New" w:hAnsi="Courier New" w:cs="Courier New" w:hint="default"/>
      </w:rPr>
    </w:lvl>
    <w:lvl w:ilvl="5" w:tplc="041F0005" w:tentative="1">
      <w:start w:val="1"/>
      <w:numFmt w:val="bullet"/>
      <w:lvlText w:val=""/>
      <w:lvlJc w:val="left"/>
      <w:pPr>
        <w:ind w:left="6021" w:hanging="360"/>
      </w:pPr>
      <w:rPr>
        <w:rFonts w:ascii="Wingdings" w:hAnsi="Wingdings" w:hint="default"/>
      </w:rPr>
    </w:lvl>
    <w:lvl w:ilvl="6" w:tplc="041F0001" w:tentative="1">
      <w:start w:val="1"/>
      <w:numFmt w:val="bullet"/>
      <w:lvlText w:val=""/>
      <w:lvlJc w:val="left"/>
      <w:pPr>
        <w:ind w:left="6741" w:hanging="360"/>
      </w:pPr>
      <w:rPr>
        <w:rFonts w:ascii="Symbol" w:hAnsi="Symbol" w:hint="default"/>
      </w:rPr>
    </w:lvl>
    <w:lvl w:ilvl="7" w:tplc="041F0003" w:tentative="1">
      <w:start w:val="1"/>
      <w:numFmt w:val="bullet"/>
      <w:lvlText w:val="o"/>
      <w:lvlJc w:val="left"/>
      <w:pPr>
        <w:ind w:left="7461" w:hanging="360"/>
      </w:pPr>
      <w:rPr>
        <w:rFonts w:ascii="Courier New" w:hAnsi="Courier New" w:cs="Courier New" w:hint="default"/>
      </w:rPr>
    </w:lvl>
    <w:lvl w:ilvl="8" w:tplc="041F0005" w:tentative="1">
      <w:start w:val="1"/>
      <w:numFmt w:val="bullet"/>
      <w:lvlText w:val=""/>
      <w:lvlJc w:val="left"/>
      <w:pPr>
        <w:ind w:left="8181" w:hanging="360"/>
      </w:pPr>
      <w:rPr>
        <w:rFonts w:ascii="Wingdings" w:hAnsi="Wingdings" w:hint="default"/>
      </w:rPr>
    </w:lvl>
  </w:abstractNum>
  <w:abstractNum w:abstractNumId="4">
    <w:nsid w:val="73F30888"/>
    <w:multiLevelType w:val="hybridMultilevel"/>
    <w:tmpl w:val="F5A42FBA"/>
    <w:lvl w:ilvl="0" w:tplc="3D1E2B0E">
      <w:start w:val="1"/>
      <w:numFmt w:val="bullet"/>
      <w:lvlText w:val=""/>
      <w:lvlJc w:val="left"/>
      <w:pPr>
        <w:tabs>
          <w:tab w:val="num" w:pos="720"/>
        </w:tabs>
        <w:ind w:left="720" w:hanging="360"/>
      </w:pPr>
      <w:rPr>
        <w:rFonts w:ascii="Wingdings" w:hAnsi="Wingdings" w:hint="default"/>
      </w:rPr>
    </w:lvl>
    <w:lvl w:ilvl="1" w:tplc="370A05AC" w:tentative="1">
      <w:start w:val="1"/>
      <w:numFmt w:val="bullet"/>
      <w:lvlText w:val=""/>
      <w:lvlJc w:val="left"/>
      <w:pPr>
        <w:tabs>
          <w:tab w:val="num" w:pos="1440"/>
        </w:tabs>
        <w:ind w:left="1440" w:hanging="360"/>
      </w:pPr>
      <w:rPr>
        <w:rFonts w:ascii="Wingdings" w:hAnsi="Wingdings" w:hint="default"/>
      </w:rPr>
    </w:lvl>
    <w:lvl w:ilvl="2" w:tplc="F774A1DE" w:tentative="1">
      <w:start w:val="1"/>
      <w:numFmt w:val="bullet"/>
      <w:lvlText w:val=""/>
      <w:lvlJc w:val="left"/>
      <w:pPr>
        <w:tabs>
          <w:tab w:val="num" w:pos="2160"/>
        </w:tabs>
        <w:ind w:left="2160" w:hanging="360"/>
      </w:pPr>
      <w:rPr>
        <w:rFonts w:ascii="Wingdings" w:hAnsi="Wingdings" w:hint="default"/>
      </w:rPr>
    </w:lvl>
    <w:lvl w:ilvl="3" w:tplc="3026AF8A" w:tentative="1">
      <w:start w:val="1"/>
      <w:numFmt w:val="bullet"/>
      <w:lvlText w:val=""/>
      <w:lvlJc w:val="left"/>
      <w:pPr>
        <w:tabs>
          <w:tab w:val="num" w:pos="2880"/>
        </w:tabs>
        <w:ind w:left="2880" w:hanging="360"/>
      </w:pPr>
      <w:rPr>
        <w:rFonts w:ascii="Wingdings" w:hAnsi="Wingdings" w:hint="default"/>
      </w:rPr>
    </w:lvl>
    <w:lvl w:ilvl="4" w:tplc="E508E8E6" w:tentative="1">
      <w:start w:val="1"/>
      <w:numFmt w:val="bullet"/>
      <w:lvlText w:val=""/>
      <w:lvlJc w:val="left"/>
      <w:pPr>
        <w:tabs>
          <w:tab w:val="num" w:pos="3600"/>
        </w:tabs>
        <w:ind w:left="3600" w:hanging="360"/>
      </w:pPr>
      <w:rPr>
        <w:rFonts w:ascii="Wingdings" w:hAnsi="Wingdings" w:hint="default"/>
      </w:rPr>
    </w:lvl>
    <w:lvl w:ilvl="5" w:tplc="51B614B6" w:tentative="1">
      <w:start w:val="1"/>
      <w:numFmt w:val="bullet"/>
      <w:lvlText w:val=""/>
      <w:lvlJc w:val="left"/>
      <w:pPr>
        <w:tabs>
          <w:tab w:val="num" w:pos="4320"/>
        </w:tabs>
        <w:ind w:left="4320" w:hanging="360"/>
      </w:pPr>
      <w:rPr>
        <w:rFonts w:ascii="Wingdings" w:hAnsi="Wingdings" w:hint="default"/>
      </w:rPr>
    </w:lvl>
    <w:lvl w:ilvl="6" w:tplc="D20220F6" w:tentative="1">
      <w:start w:val="1"/>
      <w:numFmt w:val="bullet"/>
      <w:lvlText w:val=""/>
      <w:lvlJc w:val="left"/>
      <w:pPr>
        <w:tabs>
          <w:tab w:val="num" w:pos="5040"/>
        </w:tabs>
        <w:ind w:left="5040" w:hanging="360"/>
      </w:pPr>
      <w:rPr>
        <w:rFonts w:ascii="Wingdings" w:hAnsi="Wingdings" w:hint="default"/>
      </w:rPr>
    </w:lvl>
    <w:lvl w:ilvl="7" w:tplc="ED4C17DA" w:tentative="1">
      <w:start w:val="1"/>
      <w:numFmt w:val="bullet"/>
      <w:lvlText w:val=""/>
      <w:lvlJc w:val="left"/>
      <w:pPr>
        <w:tabs>
          <w:tab w:val="num" w:pos="5760"/>
        </w:tabs>
        <w:ind w:left="5760" w:hanging="360"/>
      </w:pPr>
      <w:rPr>
        <w:rFonts w:ascii="Wingdings" w:hAnsi="Wingdings" w:hint="default"/>
      </w:rPr>
    </w:lvl>
    <w:lvl w:ilvl="8" w:tplc="5A9EF138" w:tentative="1">
      <w:start w:val="1"/>
      <w:numFmt w:val="bullet"/>
      <w:lvlText w:val=""/>
      <w:lvlJc w:val="left"/>
      <w:pPr>
        <w:tabs>
          <w:tab w:val="num" w:pos="6480"/>
        </w:tabs>
        <w:ind w:left="6480" w:hanging="360"/>
      </w:pPr>
      <w:rPr>
        <w:rFonts w:ascii="Wingdings" w:hAnsi="Wingdings" w:hint="default"/>
      </w:rPr>
    </w:lvl>
  </w:abstractNum>
  <w:abstractNum w:abstractNumId="5">
    <w:nsid w:val="77997EDA"/>
    <w:multiLevelType w:val="hybridMultilevel"/>
    <w:tmpl w:val="8AC296FE"/>
    <w:lvl w:ilvl="0" w:tplc="FA923E50">
      <w:start w:val="1"/>
      <w:numFmt w:val="bullet"/>
      <w:lvlText w:val=""/>
      <w:lvlJc w:val="left"/>
      <w:pPr>
        <w:tabs>
          <w:tab w:val="num" w:pos="720"/>
        </w:tabs>
        <w:ind w:left="720" w:hanging="360"/>
      </w:pPr>
      <w:rPr>
        <w:rFonts w:ascii="Wingdings" w:hAnsi="Wingdings" w:hint="default"/>
      </w:rPr>
    </w:lvl>
    <w:lvl w:ilvl="1" w:tplc="0CF6A36A" w:tentative="1">
      <w:start w:val="1"/>
      <w:numFmt w:val="bullet"/>
      <w:lvlText w:val=""/>
      <w:lvlJc w:val="left"/>
      <w:pPr>
        <w:tabs>
          <w:tab w:val="num" w:pos="1440"/>
        </w:tabs>
        <w:ind w:left="1440" w:hanging="360"/>
      </w:pPr>
      <w:rPr>
        <w:rFonts w:ascii="Wingdings" w:hAnsi="Wingdings" w:hint="default"/>
      </w:rPr>
    </w:lvl>
    <w:lvl w:ilvl="2" w:tplc="82E4F652" w:tentative="1">
      <w:start w:val="1"/>
      <w:numFmt w:val="bullet"/>
      <w:lvlText w:val=""/>
      <w:lvlJc w:val="left"/>
      <w:pPr>
        <w:tabs>
          <w:tab w:val="num" w:pos="2160"/>
        </w:tabs>
        <w:ind w:left="2160" w:hanging="360"/>
      </w:pPr>
      <w:rPr>
        <w:rFonts w:ascii="Wingdings" w:hAnsi="Wingdings" w:hint="default"/>
      </w:rPr>
    </w:lvl>
    <w:lvl w:ilvl="3" w:tplc="3418E142" w:tentative="1">
      <w:start w:val="1"/>
      <w:numFmt w:val="bullet"/>
      <w:lvlText w:val=""/>
      <w:lvlJc w:val="left"/>
      <w:pPr>
        <w:tabs>
          <w:tab w:val="num" w:pos="2880"/>
        </w:tabs>
        <w:ind w:left="2880" w:hanging="360"/>
      </w:pPr>
      <w:rPr>
        <w:rFonts w:ascii="Wingdings" w:hAnsi="Wingdings" w:hint="default"/>
      </w:rPr>
    </w:lvl>
    <w:lvl w:ilvl="4" w:tplc="586EDAEA" w:tentative="1">
      <w:start w:val="1"/>
      <w:numFmt w:val="bullet"/>
      <w:lvlText w:val=""/>
      <w:lvlJc w:val="left"/>
      <w:pPr>
        <w:tabs>
          <w:tab w:val="num" w:pos="3600"/>
        </w:tabs>
        <w:ind w:left="3600" w:hanging="360"/>
      </w:pPr>
      <w:rPr>
        <w:rFonts w:ascii="Wingdings" w:hAnsi="Wingdings" w:hint="default"/>
      </w:rPr>
    </w:lvl>
    <w:lvl w:ilvl="5" w:tplc="CC4C098A" w:tentative="1">
      <w:start w:val="1"/>
      <w:numFmt w:val="bullet"/>
      <w:lvlText w:val=""/>
      <w:lvlJc w:val="left"/>
      <w:pPr>
        <w:tabs>
          <w:tab w:val="num" w:pos="4320"/>
        </w:tabs>
        <w:ind w:left="4320" w:hanging="360"/>
      </w:pPr>
      <w:rPr>
        <w:rFonts w:ascii="Wingdings" w:hAnsi="Wingdings" w:hint="default"/>
      </w:rPr>
    </w:lvl>
    <w:lvl w:ilvl="6" w:tplc="72767812" w:tentative="1">
      <w:start w:val="1"/>
      <w:numFmt w:val="bullet"/>
      <w:lvlText w:val=""/>
      <w:lvlJc w:val="left"/>
      <w:pPr>
        <w:tabs>
          <w:tab w:val="num" w:pos="5040"/>
        </w:tabs>
        <w:ind w:left="5040" w:hanging="360"/>
      </w:pPr>
      <w:rPr>
        <w:rFonts w:ascii="Wingdings" w:hAnsi="Wingdings" w:hint="default"/>
      </w:rPr>
    </w:lvl>
    <w:lvl w:ilvl="7" w:tplc="D1E279F0" w:tentative="1">
      <w:start w:val="1"/>
      <w:numFmt w:val="bullet"/>
      <w:lvlText w:val=""/>
      <w:lvlJc w:val="left"/>
      <w:pPr>
        <w:tabs>
          <w:tab w:val="num" w:pos="5760"/>
        </w:tabs>
        <w:ind w:left="5760" w:hanging="360"/>
      </w:pPr>
      <w:rPr>
        <w:rFonts w:ascii="Wingdings" w:hAnsi="Wingdings" w:hint="default"/>
      </w:rPr>
    </w:lvl>
    <w:lvl w:ilvl="8" w:tplc="7A3E273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E0551"/>
    <w:rsid w:val="000138A8"/>
    <w:rsid w:val="00015B1F"/>
    <w:rsid w:val="00036CE3"/>
    <w:rsid w:val="00047CDD"/>
    <w:rsid w:val="000521B1"/>
    <w:rsid w:val="00054F10"/>
    <w:rsid w:val="000571FF"/>
    <w:rsid w:val="00061D72"/>
    <w:rsid w:val="00077D26"/>
    <w:rsid w:val="000A37BD"/>
    <w:rsid w:val="000E4DAA"/>
    <w:rsid w:val="000F40E0"/>
    <w:rsid w:val="000F460D"/>
    <w:rsid w:val="0010315B"/>
    <w:rsid w:val="00110CCB"/>
    <w:rsid w:val="0013024E"/>
    <w:rsid w:val="001311C9"/>
    <w:rsid w:val="001507DE"/>
    <w:rsid w:val="001754D0"/>
    <w:rsid w:val="00175E73"/>
    <w:rsid w:val="001812C2"/>
    <w:rsid w:val="00190E07"/>
    <w:rsid w:val="001A30F5"/>
    <w:rsid w:val="001F3C95"/>
    <w:rsid w:val="002023AB"/>
    <w:rsid w:val="002049C0"/>
    <w:rsid w:val="00227A76"/>
    <w:rsid w:val="002357DD"/>
    <w:rsid w:val="0024559D"/>
    <w:rsid w:val="002560C8"/>
    <w:rsid w:val="002A1AE8"/>
    <w:rsid w:val="002B15BC"/>
    <w:rsid w:val="002F2F90"/>
    <w:rsid w:val="00340962"/>
    <w:rsid w:val="00345727"/>
    <w:rsid w:val="00351997"/>
    <w:rsid w:val="00364DE5"/>
    <w:rsid w:val="00394AEB"/>
    <w:rsid w:val="003A32FB"/>
    <w:rsid w:val="003B050A"/>
    <w:rsid w:val="003B414B"/>
    <w:rsid w:val="00403D61"/>
    <w:rsid w:val="0041328F"/>
    <w:rsid w:val="00427CB7"/>
    <w:rsid w:val="00433FEB"/>
    <w:rsid w:val="00451923"/>
    <w:rsid w:val="00476F3B"/>
    <w:rsid w:val="004A49F7"/>
    <w:rsid w:val="004C0263"/>
    <w:rsid w:val="004C4C1D"/>
    <w:rsid w:val="004C699A"/>
    <w:rsid w:val="004E4D43"/>
    <w:rsid w:val="004F4C42"/>
    <w:rsid w:val="00501D90"/>
    <w:rsid w:val="00520DCE"/>
    <w:rsid w:val="00532BA7"/>
    <w:rsid w:val="00595C26"/>
    <w:rsid w:val="00596D3E"/>
    <w:rsid w:val="0059799E"/>
    <w:rsid w:val="005A2B0D"/>
    <w:rsid w:val="005F5406"/>
    <w:rsid w:val="00601345"/>
    <w:rsid w:val="006207C5"/>
    <w:rsid w:val="006248A7"/>
    <w:rsid w:val="00636B98"/>
    <w:rsid w:val="00640B76"/>
    <w:rsid w:val="00646F30"/>
    <w:rsid w:val="00657F3C"/>
    <w:rsid w:val="00683AD8"/>
    <w:rsid w:val="00684A64"/>
    <w:rsid w:val="006B3CE2"/>
    <w:rsid w:val="00705797"/>
    <w:rsid w:val="00725586"/>
    <w:rsid w:val="00737C63"/>
    <w:rsid w:val="0075792F"/>
    <w:rsid w:val="00786222"/>
    <w:rsid w:val="007A5A6B"/>
    <w:rsid w:val="007B4C32"/>
    <w:rsid w:val="007B5159"/>
    <w:rsid w:val="007D5A9D"/>
    <w:rsid w:val="007F1C2F"/>
    <w:rsid w:val="007F22BB"/>
    <w:rsid w:val="00813857"/>
    <w:rsid w:val="00860F71"/>
    <w:rsid w:val="008810ED"/>
    <w:rsid w:val="00894017"/>
    <w:rsid w:val="00895C2C"/>
    <w:rsid w:val="008A00C1"/>
    <w:rsid w:val="008F7350"/>
    <w:rsid w:val="009115DA"/>
    <w:rsid w:val="00932575"/>
    <w:rsid w:val="00961916"/>
    <w:rsid w:val="00965088"/>
    <w:rsid w:val="00986836"/>
    <w:rsid w:val="009B1E9B"/>
    <w:rsid w:val="009D0394"/>
    <w:rsid w:val="009D14AC"/>
    <w:rsid w:val="009E0551"/>
    <w:rsid w:val="00A206BD"/>
    <w:rsid w:val="00A2199D"/>
    <w:rsid w:val="00A26E55"/>
    <w:rsid w:val="00A32358"/>
    <w:rsid w:val="00A424F6"/>
    <w:rsid w:val="00A55F23"/>
    <w:rsid w:val="00A64C61"/>
    <w:rsid w:val="00AC058A"/>
    <w:rsid w:val="00AC4BB7"/>
    <w:rsid w:val="00AD3770"/>
    <w:rsid w:val="00AF260F"/>
    <w:rsid w:val="00B032BD"/>
    <w:rsid w:val="00B3733A"/>
    <w:rsid w:val="00B5642D"/>
    <w:rsid w:val="00B648D7"/>
    <w:rsid w:val="00B72AE9"/>
    <w:rsid w:val="00B842FA"/>
    <w:rsid w:val="00C27A1E"/>
    <w:rsid w:val="00C3672D"/>
    <w:rsid w:val="00C47989"/>
    <w:rsid w:val="00C47EA3"/>
    <w:rsid w:val="00C93A46"/>
    <w:rsid w:val="00CA7C07"/>
    <w:rsid w:val="00CB106B"/>
    <w:rsid w:val="00CB503A"/>
    <w:rsid w:val="00CB630C"/>
    <w:rsid w:val="00CE7167"/>
    <w:rsid w:val="00D066B7"/>
    <w:rsid w:val="00D17239"/>
    <w:rsid w:val="00D275A7"/>
    <w:rsid w:val="00D33C81"/>
    <w:rsid w:val="00D4235C"/>
    <w:rsid w:val="00D45507"/>
    <w:rsid w:val="00D536A6"/>
    <w:rsid w:val="00D606AF"/>
    <w:rsid w:val="00D665E5"/>
    <w:rsid w:val="00D93339"/>
    <w:rsid w:val="00DA34C8"/>
    <w:rsid w:val="00DB64EE"/>
    <w:rsid w:val="00DC2ECB"/>
    <w:rsid w:val="00DD0894"/>
    <w:rsid w:val="00E06121"/>
    <w:rsid w:val="00E12930"/>
    <w:rsid w:val="00E33DD8"/>
    <w:rsid w:val="00E41B6E"/>
    <w:rsid w:val="00E41F70"/>
    <w:rsid w:val="00E6151F"/>
    <w:rsid w:val="00E80A97"/>
    <w:rsid w:val="00E82792"/>
    <w:rsid w:val="00E91B00"/>
    <w:rsid w:val="00EA1AA2"/>
    <w:rsid w:val="00EA4B96"/>
    <w:rsid w:val="00EC2AF5"/>
    <w:rsid w:val="00F05C2B"/>
    <w:rsid w:val="00F23A9D"/>
    <w:rsid w:val="00F35C10"/>
    <w:rsid w:val="00F37178"/>
    <w:rsid w:val="00F52E32"/>
    <w:rsid w:val="00F661DA"/>
    <w:rsid w:val="00F7572E"/>
    <w:rsid w:val="00F82223"/>
    <w:rsid w:val="00F9148D"/>
    <w:rsid w:val="00FB0139"/>
    <w:rsid w:val="00FE0D7E"/>
    <w:rsid w:val="00FE3881"/>
    <w:rsid w:val="00FF40D8"/>
    <w:rsid w:val="00FF7F72"/>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tr-TR" w:eastAsia="en-US" w:bidi="ar-SA"/>
      </w:rPr>
    </w:rPrDefault>
    <w:pPrDefault>
      <w:pPr>
        <w:spacing w:after="24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C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1B00"/>
    <w:pPr>
      <w:ind w:left="720"/>
      <w:contextualSpacing/>
    </w:pPr>
  </w:style>
  <w:style w:type="paragraph" w:styleId="BalonMetni">
    <w:name w:val="Balloon Text"/>
    <w:basedOn w:val="Normal"/>
    <w:link w:val="BalonMetniChar"/>
    <w:uiPriority w:val="99"/>
    <w:semiHidden/>
    <w:unhideWhenUsed/>
    <w:rsid w:val="00CB10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106B"/>
    <w:rPr>
      <w:rFonts w:ascii="Tahoma" w:hAnsi="Tahoma" w:cs="Tahoma"/>
      <w:sz w:val="16"/>
      <w:szCs w:val="16"/>
    </w:rPr>
  </w:style>
  <w:style w:type="character" w:customStyle="1" w:styleId="name">
    <w:name w:val="name"/>
    <w:basedOn w:val="VarsaylanParagrafYazTipi"/>
    <w:rsid w:val="00D4235C"/>
  </w:style>
  <w:style w:type="paragraph" w:styleId="DipnotMetni">
    <w:name w:val="footnote text"/>
    <w:basedOn w:val="Normal"/>
    <w:link w:val="DipnotMetniChar"/>
    <w:uiPriority w:val="99"/>
    <w:unhideWhenUsed/>
    <w:rsid w:val="00C93A46"/>
    <w:pPr>
      <w:spacing w:after="0" w:line="240" w:lineRule="auto"/>
    </w:pPr>
    <w:rPr>
      <w:sz w:val="20"/>
      <w:szCs w:val="20"/>
    </w:rPr>
  </w:style>
  <w:style w:type="character" w:customStyle="1" w:styleId="DipnotMetniChar">
    <w:name w:val="Dipnot Metni Char"/>
    <w:basedOn w:val="VarsaylanParagrafYazTipi"/>
    <w:link w:val="DipnotMetni"/>
    <w:uiPriority w:val="99"/>
    <w:rsid w:val="00C93A46"/>
    <w:rPr>
      <w:sz w:val="20"/>
      <w:szCs w:val="20"/>
    </w:rPr>
  </w:style>
  <w:style w:type="character" w:styleId="DipnotBavurusu">
    <w:name w:val="footnote reference"/>
    <w:basedOn w:val="VarsaylanParagrafYazTipi"/>
    <w:uiPriority w:val="99"/>
    <w:semiHidden/>
    <w:unhideWhenUsed/>
    <w:rsid w:val="00C93A4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860713">
      <w:bodyDiv w:val="1"/>
      <w:marLeft w:val="0"/>
      <w:marRight w:val="0"/>
      <w:marTop w:val="0"/>
      <w:marBottom w:val="0"/>
      <w:divBdr>
        <w:top w:val="none" w:sz="0" w:space="0" w:color="auto"/>
        <w:left w:val="none" w:sz="0" w:space="0" w:color="auto"/>
        <w:bottom w:val="none" w:sz="0" w:space="0" w:color="auto"/>
        <w:right w:val="none" w:sz="0" w:space="0" w:color="auto"/>
      </w:divBdr>
    </w:div>
    <w:div w:id="613707244">
      <w:bodyDiv w:val="1"/>
      <w:marLeft w:val="0"/>
      <w:marRight w:val="0"/>
      <w:marTop w:val="0"/>
      <w:marBottom w:val="0"/>
      <w:divBdr>
        <w:top w:val="none" w:sz="0" w:space="0" w:color="auto"/>
        <w:left w:val="none" w:sz="0" w:space="0" w:color="auto"/>
        <w:bottom w:val="none" w:sz="0" w:space="0" w:color="auto"/>
        <w:right w:val="none" w:sz="0" w:space="0" w:color="auto"/>
      </w:divBdr>
      <w:divsChild>
        <w:div w:id="1271547637">
          <w:marLeft w:val="547"/>
          <w:marRight w:val="0"/>
          <w:marTop w:val="400"/>
          <w:marBottom w:val="0"/>
          <w:divBdr>
            <w:top w:val="none" w:sz="0" w:space="0" w:color="auto"/>
            <w:left w:val="none" w:sz="0" w:space="0" w:color="auto"/>
            <w:bottom w:val="none" w:sz="0" w:space="0" w:color="auto"/>
            <w:right w:val="none" w:sz="0" w:space="0" w:color="auto"/>
          </w:divBdr>
        </w:div>
        <w:div w:id="993681388">
          <w:marLeft w:val="547"/>
          <w:marRight w:val="0"/>
          <w:marTop w:val="400"/>
          <w:marBottom w:val="0"/>
          <w:divBdr>
            <w:top w:val="none" w:sz="0" w:space="0" w:color="auto"/>
            <w:left w:val="none" w:sz="0" w:space="0" w:color="auto"/>
            <w:bottom w:val="none" w:sz="0" w:space="0" w:color="auto"/>
            <w:right w:val="none" w:sz="0" w:space="0" w:color="auto"/>
          </w:divBdr>
        </w:div>
        <w:div w:id="355541495">
          <w:marLeft w:val="547"/>
          <w:marRight w:val="0"/>
          <w:marTop w:val="400"/>
          <w:marBottom w:val="0"/>
          <w:divBdr>
            <w:top w:val="none" w:sz="0" w:space="0" w:color="auto"/>
            <w:left w:val="none" w:sz="0" w:space="0" w:color="auto"/>
            <w:bottom w:val="none" w:sz="0" w:space="0" w:color="auto"/>
            <w:right w:val="none" w:sz="0" w:space="0" w:color="auto"/>
          </w:divBdr>
        </w:div>
      </w:divsChild>
    </w:div>
    <w:div w:id="966206838">
      <w:bodyDiv w:val="1"/>
      <w:marLeft w:val="0"/>
      <w:marRight w:val="0"/>
      <w:marTop w:val="0"/>
      <w:marBottom w:val="0"/>
      <w:divBdr>
        <w:top w:val="none" w:sz="0" w:space="0" w:color="auto"/>
        <w:left w:val="none" w:sz="0" w:space="0" w:color="auto"/>
        <w:bottom w:val="none" w:sz="0" w:space="0" w:color="auto"/>
        <w:right w:val="none" w:sz="0" w:space="0" w:color="auto"/>
      </w:divBdr>
      <w:divsChild>
        <w:div w:id="1707484167">
          <w:marLeft w:val="547"/>
          <w:marRight w:val="0"/>
          <w:marTop w:val="400"/>
          <w:marBottom w:val="0"/>
          <w:divBdr>
            <w:top w:val="none" w:sz="0" w:space="0" w:color="auto"/>
            <w:left w:val="none" w:sz="0" w:space="0" w:color="auto"/>
            <w:bottom w:val="none" w:sz="0" w:space="0" w:color="auto"/>
            <w:right w:val="none" w:sz="0" w:space="0" w:color="auto"/>
          </w:divBdr>
        </w:div>
        <w:div w:id="1002273472">
          <w:marLeft w:val="547"/>
          <w:marRight w:val="0"/>
          <w:marTop w:val="400"/>
          <w:marBottom w:val="0"/>
          <w:divBdr>
            <w:top w:val="none" w:sz="0" w:space="0" w:color="auto"/>
            <w:left w:val="none" w:sz="0" w:space="0" w:color="auto"/>
            <w:bottom w:val="none" w:sz="0" w:space="0" w:color="auto"/>
            <w:right w:val="none" w:sz="0" w:space="0" w:color="auto"/>
          </w:divBdr>
        </w:div>
        <w:div w:id="1189832919">
          <w:marLeft w:val="547"/>
          <w:marRight w:val="0"/>
          <w:marTop w:val="400"/>
          <w:marBottom w:val="0"/>
          <w:divBdr>
            <w:top w:val="none" w:sz="0" w:space="0" w:color="auto"/>
            <w:left w:val="none" w:sz="0" w:space="0" w:color="auto"/>
            <w:bottom w:val="none" w:sz="0" w:space="0" w:color="auto"/>
            <w:right w:val="none" w:sz="0" w:space="0" w:color="auto"/>
          </w:divBdr>
        </w:div>
      </w:divsChild>
    </w:div>
    <w:div w:id="1175457767">
      <w:bodyDiv w:val="1"/>
      <w:marLeft w:val="0"/>
      <w:marRight w:val="0"/>
      <w:marTop w:val="0"/>
      <w:marBottom w:val="0"/>
      <w:divBdr>
        <w:top w:val="none" w:sz="0" w:space="0" w:color="auto"/>
        <w:left w:val="none" w:sz="0" w:space="0" w:color="auto"/>
        <w:bottom w:val="none" w:sz="0" w:space="0" w:color="auto"/>
        <w:right w:val="none" w:sz="0" w:space="0" w:color="auto"/>
      </w:divBdr>
      <w:divsChild>
        <w:div w:id="1113594400">
          <w:marLeft w:val="547"/>
          <w:marRight w:val="0"/>
          <w:marTop w:val="40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al__ma_Sayfas_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_al__ma_Sayfas_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_al__ma_Sayfas_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_al__ma_Sayfas_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_al__ma_Sayfas_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_al__ma_Sayfas_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al__ma_Sayfas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al__ma_Sayfas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al__ma_Sayfas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al__ma_Sayfas_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_al__ma_Sayfas_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_al__ma_Sayfas_9.xlsx"/></Relationships>
</file>

<file path=word/charts/chart1.xml><?xml version="1.0" encoding="utf-8"?>
<c:chartSpace xmlns:c="http://schemas.openxmlformats.org/drawingml/2006/chart" xmlns:a="http://schemas.openxmlformats.org/drawingml/2006/main" xmlns:r="http://schemas.openxmlformats.org/officeDocument/2006/relationships">
  <c:lang val="tr-TR"/>
  <c:chart>
    <c:autoTitleDeleted val="1"/>
    <c:plotArea>
      <c:layout/>
      <c:pieChart>
        <c:varyColors val="1"/>
        <c:ser>
          <c:idx val="0"/>
          <c:order val="0"/>
          <c:tx>
            <c:strRef>
              <c:f>Sayfa1!$B$1</c:f>
              <c:strCache>
                <c:ptCount val="1"/>
                <c:pt idx="0">
                  <c:v>Cevaplar</c:v>
                </c:pt>
              </c:strCache>
            </c:strRef>
          </c:tx>
          <c:dPt>
            <c:idx val="0"/>
            <c:spPr>
              <a:solidFill>
                <a:schemeClr val="accent1"/>
              </a:solidFill>
              <a:ln>
                <a:noFill/>
              </a:ln>
              <a:effectLst>
                <a:outerShdw blurRad="317500" algn="ctr" rotWithShape="0">
                  <a:prstClr val="black">
                    <a:alpha val="25000"/>
                  </a:prstClr>
                </a:outerShdw>
              </a:effectLst>
            </c:spPr>
          </c:dPt>
          <c:dPt>
            <c:idx val="1"/>
            <c:spPr>
              <a:solidFill>
                <a:srgbClr val="FF0000"/>
              </a:solidFill>
              <a:ln>
                <a:noFill/>
              </a:ln>
              <a:effectLst>
                <a:outerShdw blurRad="317500" algn="ctr" rotWithShape="0">
                  <a:prstClr val="black">
                    <a:alpha val="25000"/>
                  </a:prstClr>
                </a:outerShdw>
              </a:effectLst>
            </c:spPr>
          </c:dPt>
          <c:dPt>
            <c:idx val="2"/>
            <c:spPr>
              <a:solidFill>
                <a:srgbClr val="00B050"/>
              </a:solidFill>
              <a:ln>
                <a:noFill/>
              </a:ln>
              <a:effectLst>
                <a:outerShdw blurRad="317500" algn="ctr" rotWithShape="0">
                  <a:prstClr val="black">
                    <a:alpha val="25000"/>
                  </a:prstClr>
                </a:outerShdw>
              </a:effectLst>
            </c:spPr>
          </c:dPt>
          <c:dPt>
            <c:idx val="3"/>
            <c:spPr>
              <a:solidFill>
                <a:schemeClr val="accent6"/>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lt1"/>
                    </a:solidFill>
                    <a:latin typeface="Times New Roman" pitchFamily="18" charset="0"/>
                    <a:ea typeface="+mn-ea"/>
                    <a:cs typeface="Times New Roman" pitchFamily="18" charset="0"/>
                  </a:defRPr>
                </a:pPr>
                <a:endParaRPr lang="tr-TR"/>
              </a:p>
            </c:txPr>
            <c:dLblPos val="inEnd"/>
            <c:showPercent val="1"/>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Sayfa1!$A$2:$A$5</c:f>
              <c:strCache>
                <c:ptCount val="4"/>
                <c:pt idx="0">
                  <c:v>Kesinlikle katılıyorum</c:v>
                </c:pt>
                <c:pt idx="1">
                  <c:v>Katılıyorum</c:v>
                </c:pt>
                <c:pt idx="2">
                  <c:v>Kararsızım</c:v>
                </c:pt>
                <c:pt idx="3">
                  <c:v>Katılmıyorum</c:v>
                </c:pt>
              </c:strCache>
            </c:strRef>
          </c:cat>
          <c:val>
            <c:numRef>
              <c:f>Sayfa1!$B$2:$B$5</c:f>
              <c:numCache>
                <c:formatCode>General</c:formatCode>
                <c:ptCount val="4"/>
                <c:pt idx="0">
                  <c:v>3</c:v>
                </c:pt>
                <c:pt idx="1">
                  <c:v>14</c:v>
                </c:pt>
                <c:pt idx="2">
                  <c:v>2</c:v>
                </c:pt>
                <c:pt idx="3">
                  <c:v>2</c:v>
                </c:pt>
              </c:numCache>
            </c:numRef>
          </c:val>
        </c:ser>
        <c:dLbls>
          <c:showPercent val="1"/>
        </c:dLbls>
        <c:firstSliceAng val="0"/>
      </c:pieChart>
      <c:spPr>
        <a:noFill/>
        <a:ln>
          <a:noFill/>
        </a:ln>
        <a:effectLst/>
      </c:spPr>
    </c:plotArea>
    <c:legend>
      <c:legendPos val="b"/>
      <c:layout/>
      <c:spPr>
        <a:solidFill>
          <a:schemeClr val="lt1">
            <a:alpha val="78000"/>
          </a:schemeClr>
        </a:solidFill>
        <a:ln>
          <a:noFill/>
        </a:ln>
        <a:effectLst/>
      </c:spPr>
      <c:txPr>
        <a:bodyPr rot="0" spcFirstLastPara="1" vertOverflow="ellipsis" vert="horz" wrap="square" anchor="ctr" anchorCtr="1"/>
        <a:lstStyle/>
        <a:p>
          <a:pPr>
            <a:defRPr lang="en-US" sz="1000" b="0" i="0" u="none" strike="noStrike" kern="1200" baseline="0">
              <a:solidFill>
                <a:schemeClr val="dk1">
                  <a:lumMod val="65000"/>
                  <a:lumOff val="35000"/>
                </a:schemeClr>
              </a:solidFill>
              <a:latin typeface="Times New Roman" pitchFamily="18" charset="0"/>
              <a:ea typeface="+mn-ea"/>
              <a:cs typeface="Times New Roman" pitchFamily="18" charset="0"/>
            </a:defRPr>
          </a:pPr>
          <a:endParaRPr lang="tr-TR"/>
        </a:p>
      </c:txPr>
    </c:legend>
    <c:plotVisOnly val="1"/>
    <c:dispBlanksAs val="zero"/>
  </c:chart>
  <c:spPr>
    <a:solidFill>
      <a:schemeClr val="bg1"/>
    </a:solidFill>
    <a:ln w="6350" cap="flat" cmpd="sng" algn="ctr">
      <a:solidFill>
        <a:schemeClr val="dk1">
          <a:lumMod val="15000"/>
          <a:lumOff val="85000"/>
        </a:schemeClr>
      </a:solidFill>
      <a:round/>
    </a:ln>
    <a:effectLst/>
  </c:spPr>
  <c:txPr>
    <a:bodyPr/>
    <a:lstStyle/>
    <a:p>
      <a:pPr>
        <a:defRPr/>
      </a:pPr>
      <a:endParaRPr lang="tr-TR"/>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tr-TR"/>
  <c:chart>
    <c:autoTitleDeleted val="1"/>
    <c:plotArea>
      <c:layout/>
      <c:pieChart>
        <c:varyColors val="1"/>
        <c:ser>
          <c:idx val="0"/>
          <c:order val="0"/>
          <c:tx>
            <c:strRef>
              <c:f>Sayfa1!$B$1</c:f>
              <c:strCache>
                <c:ptCount val="1"/>
                <c:pt idx="0">
                  <c:v>Cevaplar</c:v>
                </c:pt>
              </c:strCache>
            </c:strRef>
          </c:tx>
          <c:dPt>
            <c:idx val="0"/>
            <c:spPr>
              <a:solidFill>
                <a:schemeClr val="accent1"/>
              </a:solidFill>
              <a:ln>
                <a:noFill/>
              </a:ln>
              <a:effectLst>
                <a:outerShdw blurRad="317500" algn="ctr" rotWithShape="0">
                  <a:prstClr val="black">
                    <a:alpha val="25000"/>
                  </a:prstClr>
                </a:outerShdw>
              </a:effectLst>
            </c:spPr>
          </c:dPt>
          <c:dPt>
            <c:idx val="1"/>
            <c:spPr>
              <a:solidFill>
                <a:srgbClr val="FF0000"/>
              </a:solidFill>
              <a:ln>
                <a:noFill/>
              </a:ln>
              <a:effectLst>
                <a:outerShdw blurRad="317500" algn="ctr" rotWithShape="0">
                  <a:prstClr val="black">
                    <a:alpha val="25000"/>
                  </a:prstClr>
                </a:outerShdw>
              </a:effectLst>
            </c:spPr>
          </c:dPt>
          <c:dPt>
            <c:idx val="2"/>
            <c:spPr>
              <a:solidFill>
                <a:srgbClr val="00B050"/>
              </a:solidFill>
              <a:ln>
                <a:noFill/>
              </a:ln>
              <a:effectLst>
                <a:outerShdw blurRad="317500" algn="ctr" rotWithShape="0">
                  <a:prstClr val="black">
                    <a:alpha val="25000"/>
                  </a:prstClr>
                </a:outerShdw>
              </a:effectLst>
            </c:spPr>
          </c:dPt>
          <c:dPt>
            <c:idx val="3"/>
            <c:spPr>
              <a:solidFill>
                <a:schemeClr val="accent6"/>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lt1"/>
                    </a:solidFill>
                    <a:latin typeface="Times New Roman" pitchFamily="18" charset="0"/>
                    <a:ea typeface="+mn-ea"/>
                    <a:cs typeface="Times New Roman" pitchFamily="18" charset="0"/>
                  </a:defRPr>
                </a:pPr>
                <a:endParaRPr lang="tr-TR"/>
              </a:p>
            </c:txPr>
            <c:dLblPos val="inEnd"/>
            <c:showPercent val="1"/>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Sayfa1!$A$2:$A$5</c:f>
              <c:strCache>
                <c:ptCount val="4"/>
                <c:pt idx="0">
                  <c:v>Kesinlikle katılıyorum</c:v>
                </c:pt>
                <c:pt idx="1">
                  <c:v>Katılıyorum</c:v>
                </c:pt>
                <c:pt idx="2">
                  <c:v>Kararsızım</c:v>
                </c:pt>
                <c:pt idx="3">
                  <c:v>Katılmıyorum</c:v>
                </c:pt>
              </c:strCache>
            </c:strRef>
          </c:cat>
          <c:val>
            <c:numRef>
              <c:f>Sayfa1!$B$2:$B$5</c:f>
              <c:numCache>
                <c:formatCode>General</c:formatCode>
                <c:ptCount val="4"/>
                <c:pt idx="0">
                  <c:v>1</c:v>
                </c:pt>
                <c:pt idx="1">
                  <c:v>7</c:v>
                </c:pt>
                <c:pt idx="2">
                  <c:v>7</c:v>
                </c:pt>
                <c:pt idx="3">
                  <c:v>1.2</c:v>
                </c:pt>
              </c:numCache>
            </c:numRef>
          </c:val>
        </c:ser>
        <c:dLbls>
          <c:showPercent val="1"/>
        </c:dLbls>
        <c:firstSliceAng val="0"/>
      </c:pieChart>
      <c:spPr>
        <a:noFill/>
        <a:ln>
          <a:noFill/>
        </a:ln>
        <a:effectLst/>
      </c:spPr>
    </c:plotArea>
    <c:legend>
      <c:legendPos val="b"/>
      <c:layout/>
      <c:spPr>
        <a:solidFill>
          <a:schemeClr val="lt1">
            <a:alpha val="78000"/>
          </a:schemeClr>
        </a:solidFill>
        <a:ln>
          <a:noFill/>
        </a:ln>
        <a:effectLst/>
      </c:spPr>
      <c:txPr>
        <a:bodyPr rot="0" spcFirstLastPara="1" vertOverflow="ellipsis" vert="horz" wrap="square" anchor="ctr" anchorCtr="1"/>
        <a:lstStyle/>
        <a:p>
          <a:pPr>
            <a:defRPr lang="en-US" sz="1000" b="0" i="0" u="none" strike="noStrike" kern="1200" baseline="0">
              <a:solidFill>
                <a:schemeClr val="dk1">
                  <a:lumMod val="65000"/>
                  <a:lumOff val="35000"/>
                </a:schemeClr>
              </a:solidFill>
              <a:latin typeface="Times New Roman" pitchFamily="18" charset="0"/>
              <a:ea typeface="+mn-ea"/>
              <a:cs typeface="Times New Roman" pitchFamily="18" charset="0"/>
            </a:defRPr>
          </a:pPr>
          <a:endParaRPr lang="tr-TR"/>
        </a:p>
      </c:txPr>
    </c:legend>
    <c:plotVisOnly val="1"/>
    <c:dispBlanksAs val="zero"/>
  </c:chart>
  <c:spPr>
    <a:solidFill>
      <a:schemeClr val="bg1"/>
    </a:solidFill>
    <a:ln w="9525" cap="flat" cmpd="sng" algn="ctr">
      <a:solidFill>
        <a:schemeClr val="dk1">
          <a:lumMod val="15000"/>
          <a:lumOff val="85000"/>
        </a:schemeClr>
      </a:solidFill>
      <a:round/>
    </a:ln>
    <a:effectLst/>
  </c:spPr>
  <c:txPr>
    <a:bodyPr/>
    <a:lstStyle/>
    <a:p>
      <a:pPr>
        <a:defRPr/>
      </a:pPr>
      <a:endParaRPr lang="tr-TR"/>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tr-TR"/>
  <c:chart>
    <c:title>
      <c:tx>
        <c:rich>
          <a:bodyPr rot="0" spcFirstLastPara="1" vertOverflow="ellipsis" vert="horz" wrap="square" anchor="ctr" anchorCtr="1"/>
          <a:lstStyle/>
          <a:p>
            <a:pPr>
              <a:defRPr lang="en-US" sz="2200" b="1" i="0" u="none" strike="noStrike" kern="1200" baseline="0">
                <a:solidFill>
                  <a:schemeClr val="dk1">
                    <a:lumMod val="65000"/>
                    <a:lumOff val="35000"/>
                  </a:schemeClr>
                </a:solidFill>
                <a:latin typeface="+mn-lt"/>
                <a:ea typeface="+mn-ea"/>
                <a:cs typeface="+mn-cs"/>
              </a:defRPr>
            </a:pPr>
            <a:endParaRPr lang="tr-TR"/>
          </a:p>
          <a:p>
            <a:pPr>
              <a:defRPr lang="en-US" sz="2200" b="1" i="0" u="none" strike="noStrike" kern="1200" baseline="0">
                <a:solidFill>
                  <a:schemeClr val="dk1">
                    <a:lumMod val="65000"/>
                    <a:lumOff val="35000"/>
                  </a:schemeClr>
                </a:solidFill>
                <a:latin typeface="+mn-lt"/>
                <a:ea typeface="+mn-ea"/>
                <a:cs typeface="+mn-cs"/>
              </a:defRPr>
            </a:pPr>
            <a:endParaRPr lang="en-US"/>
          </a:p>
        </c:rich>
      </c:tx>
      <c:layout/>
      <c:spPr>
        <a:noFill/>
        <a:ln>
          <a:noFill/>
        </a:ln>
        <a:effectLst/>
      </c:spPr>
    </c:title>
    <c:plotArea>
      <c:layout>
        <c:manualLayout>
          <c:layoutTarget val="inner"/>
          <c:xMode val="edge"/>
          <c:yMode val="edge"/>
          <c:x val="0.26745948162729705"/>
          <c:y val="4.7535479667094399E-2"/>
          <c:w val="0.50674786745406908"/>
          <c:h val="0.82766509777086805"/>
        </c:manualLayout>
      </c:layout>
      <c:pieChart>
        <c:varyColors val="1"/>
        <c:ser>
          <c:idx val="0"/>
          <c:order val="0"/>
          <c:tx>
            <c:strRef>
              <c:f>Sayfa1!$B$1</c:f>
              <c:strCache>
                <c:ptCount val="1"/>
                <c:pt idx="0">
                  <c:v>Cevaplar</c:v>
                </c:pt>
              </c:strCache>
            </c:strRef>
          </c:tx>
          <c:dPt>
            <c:idx val="0"/>
            <c:spPr>
              <a:solidFill>
                <a:schemeClr val="accent1"/>
              </a:solidFill>
              <a:ln>
                <a:noFill/>
              </a:ln>
              <a:effectLst>
                <a:outerShdw blurRad="317500" algn="ctr" rotWithShape="0">
                  <a:prstClr val="black">
                    <a:alpha val="25000"/>
                  </a:prstClr>
                </a:outerShdw>
              </a:effectLst>
            </c:spPr>
          </c:dPt>
          <c:dPt>
            <c:idx val="1"/>
            <c:spPr>
              <a:solidFill>
                <a:srgbClr val="FF0000"/>
              </a:solidFill>
              <a:ln>
                <a:noFill/>
              </a:ln>
              <a:effectLst>
                <a:outerShdw blurRad="317500" algn="ctr" rotWithShape="0">
                  <a:prstClr val="black">
                    <a:alpha val="25000"/>
                  </a:prstClr>
                </a:outerShdw>
              </a:effectLst>
            </c:spPr>
          </c:dPt>
          <c:dPt>
            <c:idx val="2"/>
            <c:spPr>
              <a:solidFill>
                <a:srgbClr val="00B050"/>
              </a:solidFill>
              <a:ln>
                <a:noFill/>
              </a:ln>
              <a:effectLst>
                <a:outerShdw blurRad="317500" algn="ctr" rotWithShape="0">
                  <a:prstClr val="black">
                    <a:alpha val="25000"/>
                  </a:prstClr>
                </a:outerShdw>
              </a:effectLst>
            </c:spPr>
          </c:dPt>
          <c:dLbls>
            <c:dLbl>
              <c:idx val="0"/>
              <c:layout/>
              <c:tx>
                <c:rich>
                  <a:bodyPr/>
                  <a:lstStyle/>
                  <a:p>
                    <a:r>
                      <a:rPr lang="en-US" sz="1000" b="0" smtClean="0">
                        <a:latin typeface="Times New Roman" pitchFamily="18" charset="0"/>
                        <a:cs typeface="Times New Roman" pitchFamily="18" charset="0"/>
                      </a:rPr>
                      <a:t>4</a:t>
                    </a:r>
                    <a:r>
                      <a:rPr lang="en-US" smtClean="0"/>
                      <a:t>%</a:t>
                    </a:r>
                    <a:endParaRPr lang="en-US"/>
                  </a:p>
                </c:rich>
              </c:tx>
              <c:dLblPos val="inEnd"/>
              <c:showPercent val="1"/>
              <c:extLst>
                <c:ext xmlns:c15="http://schemas.microsoft.com/office/drawing/2012/chart" uri="{CE6537A1-D6FC-4f65-9D91-7224C49458BB}">
                  <c15:layout/>
                </c:ext>
              </c:extLst>
            </c:dLbl>
            <c:dLbl>
              <c:idx val="1"/>
              <c:layout/>
              <c:tx>
                <c:rich>
                  <a:bodyPr/>
                  <a:lstStyle/>
                  <a:p>
                    <a:r>
                      <a:rPr lang="en-US" sz="1000" b="0" dirty="0" smtClean="0">
                        <a:latin typeface="Times New Roman" pitchFamily="18" charset="0"/>
                        <a:cs typeface="Times New Roman" pitchFamily="18" charset="0"/>
                      </a:rPr>
                      <a:t>4</a:t>
                    </a:r>
                    <a:r>
                      <a:rPr lang="en-US" dirty="0" smtClean="0"/>
                      <a:t>8%</a:t>
                    </a:r>
                    <a:endParaRPr lang="en-US" dirty="0"/>
                  </a:p>
                </c:rich>
              </c:tx>
              <c:dLblPos val="inEnd"/>
              <c:showPercent val="1"/>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lt1"/>
                    </a:solidFill>
                    <a:latin typeface="Times New Roman" pitchFamily="18" charset="0"/>
                    <a:ea typeface="+mn-ea"/>
                    <a:cs typeface="Times New Roman" pitchFamily="18" charset="0"/>
                  </a:defRPr>
                </a:pPr>
                <a:endParaRPr lang="tr-TR"/>
              </a:p>
            </c:txPr>
            <c:dLblPos val="inEnd"/>
            <c:showPercent val="1"/>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Sayfa1!$A$2:$A$4</c:f>
              <c:strCache>
                <c:ptCount val="3"/>
                <c:pt idx="0">
                  <c:v>Katılıyorum</c:v>
                </c:pt>
                <c:pt idx="1">
                  <c:v>Kararsızım</c:v>
                </c:pt>
                <c:pt idx="2">
                  <c:v>Katılmıyorum</c:v>
                </c:pt>
              </c:strCache>
            </c:strRef>
          </c:cat>
          <c:val>
            <c:numRef>
              <c:f>Sayfa1!$B$2:$B$4</c:f>
              <c:numCache>
                <c:formatCode>General</c:formatCode>
                <c:ptCount val="3"/>
                <c:pt idx="0">
                  <c:v>1</c:v>
                </c:pt>
                <c:pt idx="1">
                  <c:v>10</c:v>
                </c:pt>
                <c:pt idx="2">
                  <c:v>10</c:v>
                </c:pt>
              </c:numCache>
            </c:numRef>
          </c:val>
        </c:ser>
        <c:dLbls>
          <c:showPercent val="1"/>
        </c:dLbls>
        <c:firstSliceAng val="0"/>
      </c:pieChart>
      <c:spPr>
        <a:noFill/>
        <a:ln>
          <a:noFill/>
        </a:ln>
        <a:effectLst/>
      </c:spPr>
    </c:plotArea>
    <c:legend>
      <c:legendPos val="b"/>
      <c:layout>
        <c:manualLayout>
          <c:xMode val="edge"/>
          <c:yMode val="edge"/>
          <c:x val="0.21864450042336303"/>
          <c:y val="0.89521753554039996"/>
          <c:w val="0.56718227123018106"/>
          <c:h val="0.10227471566054301"/>
        </c:manualLayout>
      </c:layout>
      <c:spPr>
        <a:solidFill>
          <a:schemeClr val="lt1">
            <a:alpha val="78000"/>
          </a:schemeClr>
        </a:solidFill>
        <a:ln>
          <a:noFill/>
        </a:ln>
        <a:effectLst/>
      </c:spPr>
      <c:txPr>
        <a:bodyPr rot="0" spcFirstLastPara="1" vertOverflow="ellipsis" vert="horz" wrap="square" anchor="ctr" anchorCtr="1"/>
        <a:lstStyle/>
        <a:p>
          <a:pPr>
            <a:defRPr lang="en-US" sz="1000" b="0" i="0" u="none" strike="noStrike" kern="1200" baseline="0">
              <a:solidFill>
                <a:schemeClr val="dk1">
                  <a:lumMod val="65000"/>
                  <a:lumOff val="35000"/>
                </a:schemeClr>
              </a:solidFill>
              <a:latin typeface="Times New Roman" pitchFamily="18" charset="0"/>
              <a:ea typeface="+mn-ea"/>
              <a:cs typeface="Times New Roman" pitchFamily="18" charset="0"/>
            </a:defRPr>
          </a:pPr>
          <a:endParaRPr lang="tr-TR"/>
        </a:p>
      </c:txPr>
    </c:legend>
    <c:plotVisOnly val="1"/>
    <c:dispBlanksAs val="zero"/>
  </c:chart>
  <c:spPr>
    <a:solidFill>
      <a:schemeClr val="bg1"/>
    </a:solidFill>
    <a:ln w="9525" cap="flat" cmpd="sng" algn="ctr">
      <a:solidFill>
        <a:schemeClr val="dk1">
          <a:lumMod val="15000"/>
          <a:lumOff val="85000"/>
        </a:schemeClr>
      </a:solidFill>
      <a:round/>
    </a:ln>
    <a:effectLst/>
  </c:spPr>
  <c:txPr>
    <a:bodyPr/>
    <a:lstStyle/>
    <a:p>
      <a:pPr>
        <a:defRPr/>
      </a:pPr>
      <a:endParaRPr lang="tr-TR"/>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tr-TR"/>
  <c:chart>
    <c:autoTitleDeleted val="1"/>
    <c:plotArea>
      <c:layout/>
      <c:pieChart>
        <c:varyColors val="1"/>
        <c:ser>
          <c:idx val="0"/>
          <c:order val="0"/>
          <c:tx>
            <c:strRef>
              <c:f>Sayfa1!$B$1</c:f>
              <c:strCache>
                <c:ptCount val="1"/>
                <c:pt idx="0">
                  <c:v>Cevaplar</c:v>
                </c:pt>
              </c:strCache>
            </c:strRef>
          </c:tx>
          <c:dPt>
            <c:idx val="0"/>
            <c:spPr>
              <a:solidFill>
                <a:schemeClr val="accent1"/>
              </a:solidFill>
              <a:ln>
                <a:noFill/>
              </a:ln>
              <a:effectLst>
                <a:outerShdw blurRad="317500" algn="ctr" rotWithShape="0">
                  <a:prstClr val="black">
                    <a:alpha val="25000"/>
                  </a:prstClr>
                </a:outerShdw>
              </a:effectLst>
            </c:spPr>
          </c:dPt>
          <c:dPt>
            <c:idx val="1"/>
            <c:spPr>
              <a:solidFill>
                <a:srgbClr val="FF0000"/>
              </a:solidFill>
              <a:ln>
                <a:noFill/>
              </a:ln>
              <a:effectLst>
                <a:outerShdw blurRad="317500" algn="ctr" rotWithShape="0">
                  <a:prstClr val="black">
                    <a:alpha val="25000"/>
                  </a:prstClr>
                </a:outerShdw>
              </a:effectLst>
            </c:spPr>
          </c:dPt>
          <c:dPt>
            <c:idx val="2"/>
            <c:spPr>
              <a:solidFill>
                <a:schemeClr val="accent3"/>
              </a:solidFill>
              <a:ln>
                <a:noFill/>
              </a:ln>
              <a:effectLst>
                <a:outerShdw blurRad="317500" algn="ctr" rotWithShape="0">
                  <a:prstClr val="black">
                    <a:alpha val="25000"/>
                  </a:prstClr>
                </a:outerShdw>
              </a:effectLst>
            </c:spPr>
          </c:dPt>
          <c:dPt>
            <c:idx val="3"/>
            <c:spPr>
              <a:solidFill>
                <a:schemeClr val="accent6"/>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lt1"/>
                    </a:solidFill>
                    <a:latin typeface="Times New Roman" pitchFamily="18" charset="0"/>
                    <a:ea typeface="+mn-ea"/>
                    <a:cs typeface="Times New Roman" pitchFamily="18" charset="0"/>
                  </a:defRPr>
                </a:pPr>
                <a:endParaRPr lang="tr-TR"/>
              </a:p>
            </c:txPr>
            <c:dLblPos val="inEnd"/>
            <c:showPercent val="1"/>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Sayfa1!$A$2:$A$5</c:f>
              <c:strCache>
                <c:ptCount val="4"/>
                <c:pt idx="0">
                  <c:v>Kesinlikle katılıyorum</c:v>
                </c:pt>
                <c:pt idx="1">
                  <c:v>Katılıyorum</c:v>
                </c:pt>
                <c:pt idx="2">
                  <c:v>Kararsızım</c:v>
                </c:pt>
                <c:pt idx="3">
                  <c:v>Katılmıyorum</c:v>
                </c:pt>
              </c:strCache>
            </c:strRef>
          </c:cat>
          <c:val>
            <c:numRef>
              <c:f>Sayfa1!$B$2:$B$5</c:f>
              <c:numCache>
                <c:formatCode>General</c:formatCode>
                <c:ptCount val="4"/>
                <c:pt idx="0">
                  <c:v>4</c:v>
                </c:pt>
                <c:pt idx="1">
                  <c:v>11</c:v>
                </c:pt>
                <c:pt idx="2">
                  <c:v>3</c:v>
                </c:pt>
                <c:pt idx="3">
                  <c:v>1.2</c:v>
                </c:pt>
              </c:numCache>
            </c:numRef>
          </c:val>
        </c:ser>
        <c:dLbls>
          <c:showPercent val="1"/>
        </c:dLbls>
        <c:firstSliceAng val="0"/>
      </c:pieChart>
      <c:spPr>
        <a:noFill/>
        <a:ln>
          <a:noFill/>
        </a:ln>
        <a:effectLst/>
      </c:spPr>
    </c:plotArea>
    <c:legend>
      <c:legendPos val="b"/>
      <c:layout/>
      <c:spPr>
        <a:solidFill>
          <a:schemeClr val="lt1">
            <a:alpha val="78000"/>
          </a:schemeClr>
        </a:solidFill>
        <a:ln>
          <a:noFill/>
        </a:ln>
        <a:effectLst/>
      </c:spPr>
      <c:txPr>
        <a:bodyPr rot="0" spcFirstLastPara="1" vertOverflow="ellipsis" vert="horz" wrap="square" anchor="ctr" anchorCtr="1"/>
        <a:lstStyle/>
        <a:p>
          <a:pPr>
            <a:defRPr lang="en-US" sz="1000" b="0" i="0" u="none" strike="noStrike" kern="1200" baseline="0">
              <a:solidFill>
                <a:schemeClr val="dk1">
                  <a:lumMod val="65000"/>
                  <a:lumOff val="35000"/>
                </a:schemeClr>
              </a:solidFill>
              <a:latin typeface="Times New Roman" pitchFamily="18" charset="0"/>
              <a:ea typeface="+mn-ea"/>
              <a:cs typeface="Times New Roman" pitchFamily="18" charset="0"/>
            </a:defRPr>
          </a:pPr>
          <a:endParaRPr lang="tr-TR"/>
        </a:p>
      </c:txPr>
    </c:legend>
    <c:plotVisOnly val="1"/>
    <c:dispBlanksAs val="zero"/>
  </c:chart>
  <c:spPr>
    <a:solidFill>
      <a:schemeClr val="bg1"/>
    </a:solidFill>
    <a:ln w="9525" cap="flat" cmpd="sng" algn="ctr">
      <a:solidFill>
        <a:schemeClr val="dk1">
          <a:lumMod val="15000"/>
          <a:lumOff val="85000"/>
        </a:schemeClr>
      </a:solidFill>
      <a:round/>
    </a:ln>
    <a:effectLst/>
  </c:spPr>
  <c:txPr>
    <a:bodyPr/>
    <a:lstStyle/>
    <a:p>
      <a:pPr>
        <a:defRPr/>
      </a:pPr>
      <a:endParaRPr lang="tr-TR"/>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tr-TR"/>
  <c:chart>
    <c:autoTitleDeleted val="1"/>
    <c:plotArea>
      <c:layout/>
      <c:pieChart>
        <c:varyColors val="1"/>
        <c:ser>
          <c:idx val="0"/>
          <c:order val="0"/>
          <c:tx>
            <c:strRef>
              <c:f>Sayfa1!$B$1</c:f>
              <c:strCache>
                <c:ptCount val="1"/>
                <c:pt idx="0">
                  <c:v>Cevaplar</c:v>
                </c:pt>
              </c:strCache>
            </c:strRef>
          </c:tx>
          <c:dPt>
            <c:idx val="0"/>
            <c:spPr>
              <a:solidFill>
                <a:schemeClr val="tx1"/>
              </a:solidFill>
              <a:ln>
                <a:noFill/>
              </a:ln>
              <a:effectLst>
                <a:outerShdw blurRad="317500" algn="ctr" rotWithShape="0">
                  <a:prstClr val="black">
                    <a:alpha val="25000"/>
                  </a:prstClr>
                </a:outerShdw>
              </a:effectLst>
            </c:spPr>
          </c:dPt>
          <c:dPt>
            <c:idx val="1"/>
            <c:spPr>
              <a:solidFill>
                <a:srgbClr val="00B050"/>
              </a:solidFill>
              <a:ln>
                <a:noFill/>
              </a:ln>
              <a:effectLst>
                <a:outerShdw blurRad="317500" algn="ctr" rotWithShape="0">
                  <a:prstClr val="black">
                    <a:alpha val="25000"/>
                  </a:prstClr>
                </a:outerShdw>
              </a:effectLst>
            </c:spPr>
          </c:dPt>
          <c:dPt>
            <c:idx val="2"/>
            <c:spPr>
              <a:solidFill>
                <a:srgbClr val="FF0000"/>
              </a:solidFill>
              <a:ln>
                <a:noFill/>
              </a:ln>
              <a:effectLst>
                <a:outerShdw blurRad="317500" algn="ctr" rotWithShape="0">
                  <a:prstClr val="black">
                    <a:alpha val="25000"/>
                  </a:prstClr>
                </a:outerShdw>
              </a:effectLst>
            </c:spPr>
          </c:dPt>
          <c:dPt>
            <c:idx val="3"/>
            <c:spPr>
              <a:solidFill>
                <a:schemeClr val="accent4"/>
              </a:solidFill>
              <a:ln>
                <a:noFill/>
              </a:ln>
              <a:effectLst>
                <a:outerShdw blurRad="317500" algn="ctr" rotWithShape="0">
                  <a:prstClr val="black">
                    <a:alpha val="25000"/>
                  </a:prstClr>
                </a:outerShdw>
              </a:effectLst>
            </c:spPr>
          </c:dPt>
          <c:dPt>
            <c:idx val="4"/>
            <c:spPr>
              <a:solidFill>
                <a:schemeClr val="accent5"/>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lt1"/>
                    </a:solidFill>
                    <a:latin typeface="Times New Roman" pitchFamily="18" charset="0"/>
                    <a:ea typeface="+mn-ea"/>
                    <a:cs typeface="Times New Roman" pitchFamily="18" charset="0"/>
                  </a:defRPr>
                </a:pPr>
                <a:endParaRPr lang="tr-TR"/>
              </a:p>
            </c:txPr>
            <c:dLblPos val="inEnd"/>
            <c:showPercent val="1"/>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Sayfa1!$A$2:$A$6</c:f>
              <c:strCache>
                <c:ptCount val="5"/>
                <c:pt idx="0">
                  <c:v>Kesinlikle katılıyorum</c:v>
                </c:pt>
                <c:pt idx="1">
                  <c:v>Katılıyorum</c:v>
                </c:pt>
                <c:pt idx="2">
                  <c:v>Kararsızım</c:v>
                </c:pt>
                <c:pt idx="3">
                  <c:v>Katılmıyorum</c:v>
                </c:pt>
                <c:pt idx="4">
                  <c:v>Kesinlikle katılmıyorum</c:v>
                </c:pt>
              </c:strCache>
            </c:strRef>
          </c:cat>
          <c:val>
            <c:numRef>
              <c:f>Sayfa1!$B$2:$B$6</c:f>
              <c:numCache>
                <c:formatCode>General</c:formatCode>
                <c:ptCount val="5"/>
                <c:pt idx="0">
                  <c:v>3</c:v>
                </c:pt>
                <c:pt idx="1">
                  <c:v>5</c:v>
                </c:pt>
                <c:pt idx="2">
                  <c:v>3</c:v>
                </c:pt>
                <c:pt idx="3">
                  <c:v>8</c:v>
                </c:pt>
                <c:pt idx="4">
                  <c:v>2</c:v>
                </c:pt>
              </c:numCache>
            </c:numRef>
          </c:val>
        </c:ser>
        <c:dLbls>
          <c:showPercent val="1"/>
        </c:dLbls>
        <c:firstSliceAng val="0"/>
      </c:pieChart>
      <c:spPr>
        <a:noFill/>
        <a:ln>
          <a:noFill/>
        </a:ln>
        <a:effectLst/>
      </c:spPr>
    </c:plotArea>
    <c:legend>
      <c:legendPos val="b"/>
      <c:layout/>
      <c:spPr>
        <a:solidFill>
          <a:schemeClr val="lt1">
            <a:alpha val="78000"/>
          </a:schemeClr>
        </a:solidFill>
        <a:ln>
          <a:noFill/>
        </a:ln>
        <a:effectLst/>
      </c:spPr>
      <c:txPr>
        <a:bodyPr rot="0" spcFirstLastPara="1" vertOverflow="ellipsis" vert="horz" wrap="square" anchor="ctr" anchorCtr="1"/>
        <a:lstStyle/>
        <a:p>
          <a:pPr>
            <a:defRPr lang="en-US" sz="1000" b="0" i="0" u="none" strike="noStrike" kern="1200" baseline="0">
              <a:solidFill>
                <a:schemeClr val="dk1">
                  <a:lumMod val="65000"/>
                  <a:lumOff val="35000"/>
                </a:schemeClr>
              </a:solidFill>
              <a:latin typeface="Times New Roman" pitchFamily="18" charset="0"/>
              <a:ea typeface="+mn-ea"/>
              <a:cs typeface="Times New Roman" pitchFamily="18" charset="0"/>
            </a:defRPr>
          </a:pPr>
          <a:endParaRPr lang="tr-TR"/>
        </a:p>
      </c:txPr>
    </c:legend>
    <c:plotVisOnly val="1"/>
    <c:dispBlanksAs val="zero"/>
  </c:chart>
  <c:spPr>
    <a:solidFill>
      <a:schemeClr val="bg1"/>
    </a:solidFill>
    <a:ln w="9525" cap="flat" cmpd="sng" algn="ctr">
      <a:solidFill>
        <a:schemeClr val="dk1">
          <a:lumMod val="15000"/>
          <a:lumOff val="85000"/>
        </a:schemeClr>
      </a:solidFill>
      <a:round/>
    </a:ln>
    <a:effectLst/>
  </c:spPr>
  <c:txPr>
    <a:bodyPr/>
    <a:lstStyle/>
    <a:p>
      <a:pPr>
        <a:defRPr/>
      </a:pPr>
      <a:endParaRPr lang="tr-TR"/>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tr-TR"/>
  <c:chart>
    <c:autoTitleDeleted val="1"/>
    <c:plotArea>
      <c:layout/>
      <c:pieChart>
        <c:varyColors val="1"/>
        <c:ser>
          <c:idx val="0"/>
          <c:order val="0"/>
          <c:tx>
            <c:strRef>
              <c:f>Sayfa1!$B$1</c:f>
              <c:strCache>
                <c:ptCount val="1"/>
                <c:pt idx="0">
                  <c:v>Cevaplar</c:v>
                </c:pt>
              </c:strCache>
            </c:strRef>
          </c:tx>
          <c:dPt>
            <c:idx val="0"/>
            <c:spPr>
              <a:solidFill>
                <a:schemeClr val="accent1"/>
              </a:solidFill>
              <a:ln>
                <a:noFill/>
              </a:ln>
              <a:effectLst>
                <a:outerShdw blurRad="317500" algn="ctr" rotWithShape="0">
                  <a:prstClr val="black">
                    <a:alpha val="25000"/>
                  </a:prstClr>
                </a:outerShdw>
              </a:effectLst>
            </c:spPr>
          </c:dPt>
          <c:dPt>
            <c:idx val="1"/>
            <c:spPr>
              <a:solidFill>
                <a:srgbClr val="FF0000"/>
              </a:solidFill>
              <a:ln>
                <a:noFill/>
              </a:ln>
              <a:effectLst>
                <a:outerShdw blurRad="317500" algn="ctr" rotWithShape="0">
                  <a:prstClr val="black">
                    <a:alpha val="25000"/>
                  </a:prstClr>
                </a:outerShdw>
              </a:effectLst>
            </c:spPr>
          </c:dPt>
          <c:dPt>
            <c:idx val="2"/>
            <c:spPr>
              <a:solidFill>
                <a:srgbClr val="00B050"/>
              </a:solidFill>
              <a:ln>
                <a:noFill/>
              </a:ln>
              <a:effectLst>
                <a:outerShdw blurRad="317500" algn="ctr" rotWithShape="0">
                  <a:prstClr val="black">
                    <a:alpha val="25000"/>
                  </a:prstClr>
                </a:outerShdw>
              </a:effectLst>
            </c:spPr>
          </c:dPt>
          <c:dPt>
            <c:idx val="3"/>
            <c:spPr>
              <a:solidFill>
                <a:schemeClr val="accent6"/>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lt1"/>
                    </a:solidFill>
                    <a:latin typeface="Times New Roman" pitchFamily="18" charset="0"/>
                    <a:ea typeface="+mn-ea"/>
                    <a:cs typeface="Times New Roman" pitchFamily="18" charset="0"/>
                  </a:defRPr>
                </a:pPr>
                <a:endParaRPr lang="tr-TR"/>
              </a:p>
            </c:txPr>
            <c:dLblPos val="inEnd"/>
            <c:showPercent val="1"/>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Sayfa1!$A$2:$A$5</c:f>
              <c:strCache>
                <c:ptCount val="4"/>
                <c:pt idx="0">
                  <c:v>Kesinlikle katılıyorum</c:v>
                </c:pt>
                <c:pt idx="1">
                  <c:v>Katılıyorum</c:v>
                </c:pt>
                <c:pt idx="2">
                  <c:v>Kararsızım</c:v>
                </c:pt>
                <c:pt idx="3">
                  <c:v>Katılmıyorum</c:v>
                </c:pt>
              </c:strCache>
            </c:strRef>
          </c:cat>
          <c:val>
            <c:numRef>
              <c:f>Sayfa1!$B$2:$B$5</c:f>
              <c:numCache>
                <c:formatCode>General</c:formatCode>
                <c:ptCount val="4"/>
                <c:pt idx="0">
                  <c:v>6</c:v>
                </c:pt>
                <c:pt idx="1">
                  <c:v>9</c:v>
                </c:pt>
                <c:pt idx="2">
                  <c:v>3</c:v>
                </c:pt>
                <c:pt idx="3">
                  <c:v>1.2</c:v>
                </c:pt>
              </c:numCache>
            </c:numRef>
          </c:val>
        </c:ser>
        <c:dLbls>
          <c:showPercent val="1"/>
        </c:dLbls>
        <c:firstSliceAng val="0"/>
      </c:pieChart>
      <c:spPr>
        <a:noFill/>
        <a:ln>
          <a:noFill/>
        </a:ln>
        <a:effectLst/>
      </c:spPr>
    </c:plotArea>
    <c:legend>
      <c:legendPos val="b"/>
      <c:layout/>
      <c:spPr>
        <a:solidFill>
          <a:schemeClr val="lt1">
            <a:alpha val="78000"/>
          </a:schemeClr>
        </a:solidFill>
        <a:ln>
          <a:noFill/>
        </a:ln>
        <a:effectLst/>
      </c:spPr>
      <c:txPr>
        <a:bodyPr rot="0" spcFirstLastPara="1" vertOverflow="ellipsis" vert="horz" wrap="square" anchor="ctr" anchorCtr="1"/>
        <a:lstStyle/>
        <a:p>
          <a:pPr>
            <a:defRPr lang="en-US" sz="1000" b="0" i="0" u="none" strike="noStrike" kern="1200" baseline="0">
              <a:solidFill>
                <a:schemeClr val="dk1">
                  <a:lumMod val="65000"/>
                  <a:lumOff val="35000"/>
                </a:schemeClr>
              </a:solidFill>
              <a:latin typeface="Times New Roman" pitchFamily="18" charset="0"/>
              <a:ea typeface="+mn-ea"/>
              <a:cs typeface="Times New Roman" pitchFamily="18" charset="0"/>
            </a:defRPr>
          </a:pPr>
          <a:endParaRPr lang="tr-TR"/>
        </a:p>
      </c:txPr>
    </c:legend>
    <c:plotVisOnly val="1"/>
    <c:dispBlanksAs val="zero"/>
  </c:chart>
  <c:spPr>
    <a:solidFill>
      <a:schemeClr val="bg1"/>
    </a:solidFill>
    <a:ln w="9525" cap="flat" cmpd="sng" algn="ctr">
      <a:solidFill>
        <a:schemeClr val="dk1">
          <a:lumMod val="15000"/>
          <a:lumOff val="85000"/>
        </a:schemeClr>
      </a:solidFill>
      <a:round/>
    </a:ln>
    <a:effectLst/>
  </c:spPr>
  <c:txPr>
    <a:bodyPr/>
    <a:lstStyle/>
    <a:p>
      <a:pPr>
        <a:defRPr/>
      </a:pPr>
      <a:endParaRPr lang="tr-T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tr-TR"/>
  <c:chart>
    <c:autoTitleDeleted val="1"/>
    <c:plotArea>
      <c:layout/>
      <c:pieChart>
        <c:varyColors val="1"/>
        <c:ser>
          <c:idx val="0"/>
          <c:order val="0"/>
          <c:tx>
            <c:strRef>
              <c:f>Sayfa1!$B$1</c:f>
              <c:strCache>
                <c:ptCount val="1"/>
                <c:pt idx="0">
                  <c:v>Cevaplar</c:v>
                </c:pt>
              </c:strCache>
            </c:strRef>
          </c:tx>
          <c:dPt>
            <c:idx val="0"/>
            <c:spPr>
              <a:solidFill>
                <a:srgbClr val="FF0000"/>
              </a:solidFill>
              <a:ln>
                <a:noFill/>
              </a:ln>
              <a:effectLst>
                <a:outerShdw blurRad="317500" algn="ctr" rotWithShape="0">
                  <a:prstClr val="black">
                    <a:alpha val="25000"/>
                  </a:prstClr>
                </a:outerShdw>
              </a:effectLst>
            </c:spPr>
          </c:dPt>
          <c:dPt>
            <c:idx val="1"/>
            <c:spPr>
              <a:solidFill>
                <a:srgbClr val="00B050"/>
              </a:solidFill>
              <a:ln>
                <a:noFill/>
              </a:ln>
              <a:effectLst>
                <a:outerShdw blurRad="317500" algn="ctr" rotWithShape="0">
                  <a:prstClr val="black">
                    <a:alpha val="25000"/>
                  </a:prstClr>
                </a:outerShdw>
              </a:effectLst>
            </c:spPr>
          </c:dPt>
          <c:dPt>
            <c:idx val="2"/>
            <c:spPr>
              <a:solidFill>
                <a:schemeClr val="accent6"/>
              </a:solidFill>
              <a:ln>
                <a:noFill/>
              </a:ln>
              <a:effectLst>
                <a:outerShdw blurRad="317500" algn="ctr" rotWithShape="0">
                  <a:prstClr val="black">
                    <a:alpha val="25000"/>
                  </a:prstClr>
                </a:outerShdw>
              </a:effectLst>
            </c:spPr>
          </c:dPt>
          <c:dPt>
            <c:idx val="3"/>
            <c:spPr>
              <a:solidFill>
                <a:schemeClr val="accent4"/>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lt1"/>
                    </a:solidFill>
                    <a:latin typeface="Times New Roman" pitchFamily="18" charset="0"/>
                    <a:ea typeface="+mn-ea"/>
                    <a:cs typeface="Times New Roman" pitchFamily="18" charset="0"/>
                  </a:defRPr>
                </a:pPr>
                <a:endParaRPr lang="tr-TR"/>
              </a:p>
            </c:txPr>
            <c:dLblPos val="inEnd"/>
            <c:showPercent val="1"/>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Sayfa1!$A$2:$A$5</c:f>
              <c:strCache>
                <c:ptCount val="4"/>
                <c:pt idx="0">
                  <c:v>Kesinlikle katılıyorum</c:v>
                </c:pt>
                <c:pt idx="1">
                  <c:v>Katılıyorum</c:v>
                </c:pt>
                <c:pt idx="2">
                  <c:v>Kararsızım</c:v>
                </c:pt>
                <c:pt idx="3">
                  <c:v>Katılmıyorum</c:v>
                </c:pt>
              </c:strCache>
            </c:strRef>
          </c:cat>
          <c:val>
            <c:numRef>
              <c:f>Sayfa1!$B$2:$B$5</c:f>
              <c:numCache>
                <c:formatCode>General</c:formatCode>
                <c:ptCount val="4"/>
                <c:pt idx="0">
                  <c:v>3</c:v>
                </c:pt>
                <c:pt idx="1">
                  <c:v>4</c:v>
                </c:pt>
                <c:pt idx="2">
                  <c:v>4</c:v>
                </c:pt>
                <c:pt idx="3">
                  <c:v>10</c:v>
                </c:pt>
              </c:numCache>
            </c:numRef>
          </c:val>
        </c:ser>
        <c:dLbls>
          <c:showPercent val="1"/>
        </c:dLbls>
        <c:firstSliceAng val="0"/>
      </c:pieChart>
      <c:spPr>
        <a:noFill/>
        <a:ln>
          <a:noFill/>
        </a:ln>
        <a:effectLst/>
      </c:spPr>
    </c:plotArea>
    <c:legend>
      <c:legendPos val="b"/>
      <c:layout/>
      <c:spPr>
        <a:solidFill>
          <a:schemeClr val="lt1">
            <a:alpha val="78000"/>
          </a:schemeClr>
        </a:solidFill>
        <a:ln>
          <a:noFill/>
        </a:ln>
        <a:effectLst/>
      </c:spPr>
      <c:txPr>
        <a:bodyPr rot="0" spcFirstLastPara="1" vertOverflow="ellipsis" vert="horz" wrap="square" anchor="ctr" anchorCtr="1"/>
        <a:lstStyle/>
        <a:p>
          <a:pPr>
            <a:defRPr lang="en-US" sz="1000" b="0" i="0" u="none" strike="noStrike" kern="1200" baseline="0">
              <a:solidFill>
                <a:schemeClr val="dk1">
                  <a:lumMod val="65000"/>
                  <a:lumOff val="35000"/>
                </a:schemeClr>
              </a:solidFill>
              <a:latin typeface="Times New Roman" pitchFamily="18" charset="0"/>
              <a:ea typeface="+mn-ea"/>
              <a:cs typeface="Times New Roman" pitchFamily="18" charset="0"/>
            </a:defRPr>
          </a:pPr>
          <a:endParaRPr lang="tr-TR"/>
        </a:p>
      </c:txPr>
    </c:legend>
    <c:plotVisOnly val="1"/>
    <c:dispBlanksAs val="zero"/>
  </c:chart>
  <c:spPr>
    <a:solidFill>
      <a:schemeClr val="bg1"/>
    </a:solidFill>
    <a:ln w="9525" cap="flat" cmpd="sng" algn="ctr">
      <a:solidFill>
        <a:schemeClr val="dk1">
          <a:lumMod val="15000"/>
          <a:lumOff val="85000"/>
        </a:schemeClr>
      </a:solidFill>
      <a:round/>
    </a:ln>
    <a:effectLst/>
  </c:spPr>
  <c:txPr>
    <a:bodyPr/>
    <a:lstStyle/>
    <a:p>
      <a:pPr>
        <a:defRPr/>
      </a:pPr>
      <a:endParaRPr lang="tr-T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tr-TR"/>
  <c:chart>
    <c:autoTitleDeleted val="1"/>
    <c:plotArea>
      <c:layout/>
      <c:pieChart>
        <c:varyColors val="1"/>
        <c:ser>
          <c:idx val="0"/>
          <c:order val="0"/>
          <c:tx>
            <c:strRef>
              <c:f>Sayfa1!$B$1</c:f>
              <c:strCache>
                <c:ptCount val="1"/>
                <c:pt idx="0">
                  <c:v>Cevaplar</c:v>
                </c:pt>
              </c:strCache>
            </c:strRef>
          </c:tx>
          <c:dPt>
            <c:idx val="0"/>
            <c:spPr>
              <a:solidFill>
                <a:schemeClr val="accent1"/>
              </a:solidFill>
              <a:ln>
                <a:noFill/>
              </a:ln>
              <a:effectLst>
                <a:outerShdw blurRad="317500" algn="ctr" rotWithShape="0">
                  <a:prstClr val="black">
                    <a:alpha val="25000"/>
                  </a:prstClr>
                </a:outerShdw>
              </a:effectLst>
            </c:spPr>
          </c:dPt>
          <c:dPt>
            <c:idx val="1"/>
            <c:spPr>
              <a:solidFill>
                <a:srgbClr val="FF0000"/>
              </a:solidFill>
              <a:ln>
                <a:noFill/>
              </a:ln>
              <a:effectLst>
                <a:outerShdw blurRad="317500" algn="ctr" rotWithShape="0">
                  <a:prstClr val="black">
                    <a:alpha val="25000"/>
                  </a:prstClr>
                </a:outerShdw>
              </a:effectLst>
            </c:spPr>
          </c:dPt>
          <c:dPt>
            <c:idx val="2"/>
            <c:spPr>
              <a:solidFill>
                <a:srgbClr val="00B050"/>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lt1"/>
                    </a:solidFill>
                    <a:latin typeface="Times New Roman" pitchFamily="18" charset="0"/>
                    <a:ea typeface="+mn-ea"/>
                    <a:cs typeface="Times New Roman" pitchFamily="18" charset="0"/>
                  </a:defRPr>
                </a:pPr>
                <a:endParaRPr lang="tr-TR"/>
              </a:p>
            </c:txPr>
            <c:dLblPos val="inEnd"/>
            <c:showPercent val="1"/>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Sayfa1!$A$2:$A$4</c:f>
              <c:strCache>
                <c:ptCount val="3"/>
                <c:pt idx="0">
                  <c:v>Katılıyorum</c:v>
                </c:pt>
                <c:pt idx="1">
                  <c:v>Katılmıyorum</c:v>
                </c:pt>
                <c:pt idx="2">
                  <c:v>Kararsızım</c:v>
                </c:pt>
              </c:strCache>
            </c:strRef>
          </c:cat>
          <c:val>
            <c:numRef>
              <c:f>Sayfa1!$B$2:$B$4</c:f>
              <c:numCache>
                <c:formatCode>General</c:formatCode>
                <c:ptCount val="3"/>
                <c:pt idx="0">
                  <c:v>8</c:v>
                </c:pt>
                <c:pt idx="1">
                  <c:v>7</c:v>
                </c:pt>
                <c:pt idx="2">
                  <c:v>6</c:v>
                </c:pt>
              </c:numCache>
            </c:numRef>
          </c:val>
        </c:ser>
        <c:dLbls>
          <c:showPercent val="1"/>
        </c:dLbls>
        <c:firstSliceAng val="0"/>
      </c:pieChart>
      <c:spPr>
        <a:noFill/>
        <a:ln>
          <a:noFill/>
        </a:ln>
        <a:effectLst/>
      </c:spPr>
    </c:plotArea>
    <c:legend>
      <c:legendPos val="b"/>
      <c:layout/>
      <c:spPr>
        <a:solidFill>
          <a:schemeClr val="lt1">
            <a:alpha val="78000"/>
          </a:schemeClr>
        </a:solidFill>
        <a:ln>
          <a:noFill/>
        </a:ln>
        <a:effectLst/>
      </c:spPr>
      <c:txPr>
        <a:bodyPr rot="0" spcFirstLastPara="1" vertOverflow="ellipsis" vert="horz" wrap="square" anchor="ctr" anchorCtr="1"/>
        <a:lstStyle/>
        <a:p>
          <a:pPr>
            <a:defRPr lang="en-US" sz="1000" b="0" i="0" u="none" strike="noStrike" kern="1200" baseline="0">
              <a:solidFill>
                <a:schemeClr val="dk1">
                  <a:lumMod val="65000"/>
                  <a:lumOff val="35000"/>
                </a:schemeClr>
              </a:solidFill>
              <a:latin typeface="Times New Roman" pitchFamily="18" charset="0"/>
              <a:ea typeface="+mn-ea"/>
              <a:cs typeface="Times New Roman" pitchFamily="18" charset="0"/>
            </a:defRPr>
          </a:pPr>
          <a:endParaRPr lang="tr-TR"/>
        </a:p>
      </c:txPr>
    </c:legend>
    <c:plotVisOnly val="1"/>
    <c:dispBlanksAs val="zero"/>
  </c:chart>
  <c:spPr>
    <a:solidFill>
      <a:schemeClr val="bg1"/>
    </a:solidFill>
    <a:ln w="9525" cap="flat" cmpd="sng" algn="ctr">
      <a:solidFill>
        <a:schemeClr val="dk1">
          <a:lumMod val="15000"/>
          <a:lumOff val="85000"/>
        </a:schemeClr>
      </a:solidFill>
      <a:round/>
    </a:ln>
    <a:effectLst/>
  </c:spPr>
  <c:txPr>
    <a:bodyPr/>
    <a:lstStyle/>
    <a:p>
      <a:pPr>
        <a:defRPr/>
      </a:pPr>
      <a:endParaRPr lang="tr-T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tr-TR"/>
  <c:chart>
    <c:autoTitleDeleted val="1"/>
    <c:plotArea>
      <c:layout/>
      <c:pieChart>
        <c:varyColors val="1"/>
        <c:ser>
          <c:idx val="0"/>
          <c:order val="0"/>
          <c:tx>
            <c:strRef>
              <c:f>Sayfa1!$B$1</c:f>
              <c:strCache>
                <c:ptCount val="1"/>
                <c:pt idx="0">
                  <c:v>Cevaplar</c:v>
                </c:pt>
              </c:strCache>
            </c:strRef>
          </c:tx>
          <c:dPt>
            <c:idx val="0"/>
            <c:spPr>
              <a:solidFill>
                <a:schemeClr val="accent1"/>
              </a:solidFill>
              <a:ln>
                <a:noFill/>
              </a:ln>
              <a:effectLst>
                <a:outerShdw blurRad="317500" algn="ctr" rotWithShape="0">
                  <a:prstClr val="black">
                    <a:alpha val="25000"/>
                  </a:prstClr>
                </a:outerShdw>
              </a:effectLst>
            </c:spPr>
          </c:dPt>
          <c:dPt>
            <c:idx val="1"/>
            <c:spPr>
              <a:solidFill>
                <a:srgbClr val="FF0000"/>
              </a:solidFill>
              <a:ln>
                <a:noFill/>
              </a:ln>
              <a:effectLst>
                <a:outerShdw blurRad="317500" algn="ctr" rotWithShape="0">
                  <a:prstClr val="black">
                    <a:alpha val="25000"/>
                  </a:prstClr>
                </a:outerShdw>
              </a:effectLst>
            </c:spPr>
          </c:dPt>
          <c:dPt>
            <c:idx val="2"/>
            <c:spPr>
              <a:solidFill>
                <a:srgbClr val="00B050"/>
              </a:solidFill>
              <a:ln>
                <a:noFill/>
              </a:ln>
              <a:effectLst>
                <a:outerShdw blurRad="317500" algn="ctr" rotWithShape="0">
                  <a:prstClr val="black">
                    <a:alpha val="25000"/>
                  </a:prstClr>
                </a:outerShdw>
              </a:effectLst>
            </c:spPr>
          </c:dPt>
          <c:dPt>
            <c:idx val="3"/>
            <c:spPr>
              <a:solidFill>
                <a:schemeClr val="accent6"/>
              </a:solidFill>
              <a:ln>
                <a:noFill/>
              </a:ln>
              <a:effectLst>
                <a:outerShdw blurRad="317500" algn="ctr" rotWithShape="0">
                  <a:prstClr val="black">
                    <a:alpha val="25000"/>
                  </a:prstClr>
                </a:outerShdw>
              </a:effectLst>
            </c:spPr>
          </c:dPt>
          <c:dLbls>
            <c:dLbl>
              <c:idx val="3"/>
              <c:layout>
                <c:manualLayout>
                  <c:x val="1.6530271662145705E-2"/>
                  <c:y val="8.7363474726949539E-2"/>
                </c:manualLayout>
              </c:layout>
              <c:dLblPos val="bestFit"/>
              <c:showPercent val="1"/>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lt1"/>
                    </a:solidFill>
                    <a:latin typeface="Times New Roman" pitchFamily="18" charset="0"/>
                    <a:ea typeface="+mn-ea"/>
                    <a:cs typeface="Times New Roman" pitchFamily="18" charset="0"/>
                  </a:defRPr>
                </a:pPr>
                <a:endParaRPr lang="tr-TR"/>
              </a:p>
            </c:txPr>
            <c:dLblPos val="inEnd"/>
            <c:showPercent val="1"/>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Sayfa1!$A$2:$A$5</c:f>
              <c:strCache>
                <c:ptCount val="4"/>
                <c:pt idx="0">
                  <c:v>Kesinlikle katılıyorum</c:v>
                </c:pt>
                <c:pt idx="1">
                  <c:v>Katılıyorum</c:v>
                </c:pt>
                <c:pt idx="2">
                  <c:v>Kararsızım</c:v>
                </c:pt>
                <c:pt idx="3">
                  <c:v>Katılmıyorum</c:v>
                </c:pt>
              </c:strCache>
            </c:strRef>
          </c:cat>
          <c:val>
            <c:numRef>
              <c:f>Sayfa1!$B$2:$B$5</c:f>
              <c:numCache>
                <c:formatCode>General</c:formatCode>
                <c:ptCount val="4"/>
                <c:pt idx="0">
                  <c:v>3</c:v>
                </c:pt>
                <c:pt idx="1">
                  <c:v>14</c:v>
                </c:pt>
                <c:pt idx="2">
                  <c:v>3</c:v>
                </c:pt>
                <c:pt idx="3">
                  <c:v>1.2</c:v>
                </c:pt>
              </c:numCache>
            </c:numRef>
          </c:val>
        </c:ser>
        <c:dLbls>
          <c:showPercent val="1"/>
        </c:dLbls>
        <c:firstSliceAng val="0"/>
      </c:pieChart>
      <c:spPr>
        <a:noFill/>
        <a:ln>
          <a:noFill/>
        </a:ln>
        <a:effectLst/>
      </c:spPr>
    </c:plotArea>
    <c:legend>
      <c:legendPos val="b"/>
      <c:layout/>
      <c:spPr>
        <a:solidFill>
          <a:schemeClr val="lt1">
            <a:alpha val="78000"/>
          </a:schemeClr>
        </a:solidFill>
        <a:ln>
          <a:noFill/>
        </a:ln>
        <a:effectLst/>
      </c:spPr>
      <c:txPr>
        <a:bodyPr rot="0" spcFirstLastPara="1" vertOverflow="ellipsis" vert="horz" wrap="square" anchor="ctr" anchorCtr="1"/>
        <a:lstStyle/>
        <a:p>
          <a:pPr>
            <a:defRPr lang="en-US" sz="1000" b="0" i="0" u="none" strike="noStrike" kern="1200" baseline="0">
              <a:solidFill>
                <a:schemeClr val="dk1">
                  <a:lumMod val="65000"/>
                  <a:lumOff val="35000"/>
                </a:schemeClr>
              </a:solidFill>
              <a:latin typeface="Times New Roman" pitchFamily="18" charset="0"/>
              <a:ea typeface="+mn-ea"/>
              <a:cs typeface="Times New Roman" pitchFamily="18" charset="0"/>
            </a:defRPr>
          </a:pPr>
          <a:endParaRPr lang="tr-TR"/>
        </a:p>
      </c:txPr>
    </c:legend>
    <c:plotVisOnly val="1"/>
    <c:dispBlanksAs val="zero"/>
  </c:chart>
  <c:spPr>
    <a:solidFill>
      <a:schemeClr val="bg1"/>
    </a:solidFill>
    <a:ln w="9525" cap="flat" cmpd="sng" algn="ctr">
      <a:solidFill>
        <a:schemeClr val="dk1">
          <a:lumMod val="15000"/>
          <a:lumOff val="85000"/>
        </a:schemeClr>
      </a:solidFill>
      <a:round/>
    </a:ln>
    <a:effectLst/>
  </c:spPr>
  <c:txPr>
    <a:bodyPr/>
    <a:lstStyle/>
    <a:p>
      <a:pPr>
        <a:defRPr/>
      </a:pPr>
      <a:endParaRPr lang="tr-T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tr-TR"/>
  <c:chart>
    <c:autoTitleDeleted val="1"/>
    <c:plotArea>
      <c:layout/>
      <c:pieChart>
        <c:varyColors val="1"/>
        <c:ser>
          <c:idx val="0"/>
          <c:order val="0"/>
          <c:tx>
            <c:strRef>
              <c:f>Sayfa1!$B$1</c:f>
              <c:strCache>
                <c:ptCount val="1"/>
                <c:pt idx="0">
                  <c:v>Cevaplar</c:v>
                </c:pt>
              </c:strCache>
            </c:strRef>
          </c:tx>
          <c:dPt>
            <c:idx val="0"/>
            <c:spPr>
              <a:solidFill>
                <a:schemeClr val="accent1"/>
              </a:solidFill>
              <a:ln>
                <a:noFill/>
              </a:ln>
              <a:effectLst>
                <a:outerShdw blurRad="317500" algn="ctr" rotWithShape="0">
                  <a:prstClr val="black">
                    <a:alpha val="25000"/>
                  </a:prstClr>
                </a:outerShdw>
              </a:effectLst>
            </c:spPr>
          </c:dPt>
          <c:dPt>
            <c:idx val="1"/>
            <c:spPr>
              <a:solidFill>
                <a:srgbClr val="FF0000"/>
              </a:solidFill>
              <a:ln>
                <a:noFill/>
              </a:ln>
              <a:effectLst>
                <a:outerShdw blurRad="317500" algn="ctr" rotWithShape="0">
                  <a:prstClr val="black">
                    <a:alpha val="25000"/>
                  </a:prstClr>
                </a:outerShdw>
              </a:effectLst>
            </c:spPr>
          </c:dPt>
          <c:dPt>
            <c:idx val="2"/>
            <c:spPr>
              <a:solidFill>
                <a:srgbClr val="00B050"/>
              </a:solidFill>
              <a:ln>
                <a:noFill/>
              </a:ln>
              <a:effectLst>
                <a:outerShdw blurRad="317500" algn="ctr" rotWithShape="0">
                  <a:prstClr val="black">
                    <a:alpha val="25000"/>
                  </a:prstClr>
                </a:outerShdw>
              </a:effectLst>
            </c:spPr>
          </c:dPt>
          <c:dPt>
            <c:idx val="3"/>
            <c:spPr>
              <a:solidFill>
                <a:schemeClr val="accent6"/>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lt1"/>
                    </a:solidFill>
                    <a:latin typeface="Times New Roman" pitchFamily="18" charset="0"/>
                    <a:ea typeface="+mn-ea"/>
                    <a:cs typeface="Times New Roman" pitchFamily="18" charset="0"/>
                  </a:defRPr>
                </a:pPr>
                <a:endParaRPr lang="tr-TR"/>
              </a:p>
            </c:txPr>
            <c:dLblPos val="inEnd"/>
            <c:showPercent val="1"/>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Sayfa1!$A$2:$A$5</c:f>
              <c:strCache>
                <c:ptCount val="4"/>
                <c:pt idx="0">
                  <c:v>Kesinlikle katılıyorum</c:v>
                </c:pt>
                <c:pt idx="1">
                  <c:v>Katılıyorum</c:v>
                </c:pt>
                <c:pt idx="2">
                  <c:v>Kararsızım</c:v>
                </c:pt>
                <c:pt idx="3">
                  <c:v>Katılmıyorum</c:v>
                </c:pt>
              </c:strCache>
            </c:strRef>
          </c:cat>
          <c:val>
            <c:numRef>
              <c:f>Sayfa1!$B$2:$B$5</c:f>
              <c:numCache>
                <c:formatCode>General</c:formatCode>
                <c:ptCount val="4"/>
                <c:pt idx="0">
                  <c:v>2</c:v>
                </c:pt>
                <c:pt idx="1">
                  <c:v>9</c:v>
                </c:pt>
                <c:pt idx="2">
                  <c:v>6</c:v>
                </c:pt>
                <c:pt idx="3">
                  <c:v>1.2</c:v>
                </c:pt>
              </c:numCache>
            </c:numRef>
          </c:val>
        </c:ser>
        <c:dLbls>
          <c:showPercent val="1"/>
        </c:dLbls>
        <c:firstSliceAng val="0"/>
      </c:pieChart>
      <c:spPr>
        <a:noFill/>
        <a:ln>
          <a:noFill/>
        </a:ln>
        <a:effectLst/>
      </c:spPr>
    </c:plotArea>
    <c:legend>
      <c:legendPos val="b"/>
      <c:layout/>
      <c:spPr>
        <a:solidFill>
          <a:schemeClr val="lt1">
            <a:alpha val="78000"/>
          </a:schemeClr>
        </a:solidFill>
        <a:ln>
          <a:noFill/>
        </a:ln>
        <a:effectLst/>
      </c:spPr>
      <c:txPr>
        <a:bodyPr rot="0" spcFirstLastPara="1" vertOverflow="ellipsis" vert="horz" wrap="square" anchor="ctr" anchorCtr="1"/>
        <a:lstStyle/>
        <a:p>
          <a:pPr>
            <a:defRPr lang="en-US" sz="1000" b="0" i="0" u="none" strike="noStrike" kern="1200" baseline="0">
              <a:solidFill>
                <a:schemeClr val="dk1">
                  <a:lumMod val="65000"/>
                  <a:lumOff val="35000"/>
                </a:schemeClr>
              </a:solidFill>
              <a:latin typeface="Times New Roman" pitchFamily="18" charset="0"/>
              <a:ea typeface="+mn-ea"/>
              <a:cs typeface="Times New Roman" pitchFamily="18" charset="0"/>
            </a:defRPr>
          </a:pPr>
          <a:endParaRPr lang="tr-TR"/>
        </a:p>
      </c:txPr>
    </c:legend>
    <c:plotVisOnly val="1"/>
    <c:dispBlanksAs val="zero"/>
  </c:chart>
  <c:spPr>
    <a:solidFill>
      <a:schemeClr val="bg1"/>
    </a:solidFill>
    <a:ln w="9525" cap="flat" cmpd="sng" algn="ctr">
      <a:solidFill>
        <a:schemeClr val="dk1">
          <a:lumMod val="15000"/>
          <a:lumOff val="85000"/>
        </a:schemeClr>
      </a:solidFill>
      <a:round/>
    </a:ln>
    <a:effectLst/>
  </c:spPr>
  <c:txPr>
    <a:bodyPr/>
    <a:lstStyle/>
    <a:p>
      <a:pPr>
        <a:defRPr/>
      </a:pPr>
      <a:endParaRPr lang="tr-T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tr-TR"/>
  <c:chart>
    <c:autoTitleDeleted val="1"/>
    <c:plotArea>
      <c:layout/>
      <c:pieChart>
        <c:varyColors val="1"/>
        <c:ser>
          <c:idx val="0"/>
          <c:order val="0"/>
          <c:tx>
            <c:strRef>
              <c:f>Sayfa1!$B$1</c:f>
              <c:strCache>
                <c:ptCount val="1"/>
                <c:pt idx="0">
                  <c:v>Cevaplar</c:v>
                </c:pt>
              </c:strCache>
            </c:strRef>
          </c:tx>
          <c:dPt>
            <c:idx val="0"/>
            <c:spPr>
              <a:solidFill>
                <a:schemeClr val="accent1"/>
              </a:solidFill>
              <a:ln>
                <a:noFill/>
              </a:ln>
              <a:effectLst>
                <a:outerShdw blurRad="317500" algn="ctr" rotWithShape="0">
                  <a:prstClr val="black">
                    <a:alpha val="25000"/>
                  </a:prstClr>
                </a:outerShdw>
              </a:effectLst>
            </c:spPr>
          </c:dPt>
          <c:dPt>
            <c:idx val="1"/>
            <c:spPr>
              <a:solidFill>
                <a:srgbClr val="FF0000"/>
              </a:solidFill>
              <a:ln>
                <a:noFill/>
              </a:ln>
              <a:effectLst>
                <a:outerShdw blurRad="317500" algn="ctr" rotWithShape="0">
                  <a:prstClr val="black">
                    <a:alpha val="25000"/>
                  </a:prstClr>
                </a:outerShdw>
              </a:effectLst>
            </c:spPr>
          </c:dPt>
          <c:dPt>
            <c:idx val="2"/>
            <c:spPr>
              <a:solidFill>
                <a:srgbClr val="00B050"/>
              </a:solidFill>
              <a:ln>
                <a:noFill/>
              </a:ln>
              <a:effectLst>
                <a:outerShdw blurRad="317500" algn="ctr" rotWithShape="0">
                  <a:prstClr val="black">
                    <a:alpha val="25000"/>
                  </a:prstClr>
                </a:outerShdw>
              </a:effectLst>
            </c:spPr>
          </c:dPt>
          <c:dPt>
            <c:idx val="3"/>
            <c:spPr>
              <a:solidFill>
                <a:schemeClr val="accent6"/>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lt1"/>
                    </a:solidFill>
                    <a:latin typeface="Times New Roman" pitchFamily="18" charset="0"/>
                    <a:ea typeface="+mn-ea"/>
                    <a:cs typeface="Times New Roman" pitchFamily="18" charset="0"/>
                  </a:defRPr>
                </a:pPr>
                <a:endParaRPr lang="tr-TR"/>
              </a:p>
            </c:txPr>
            <c:dLblPos val="inEnd"/>
            <c:showPercent val="1"/>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Sayfa1!$A$2:$A$5</c:f>
              <c:strCache>
                <c:ptCount val="4"/>
                <c:pt idx="0">
                  <c:v>Kesinlikle katılıyorum</c:v>
                </c:pt>
                <c:pt idx="1">
                  <c:v>Katılıyorum</c:v>
                </c:pt>
                <c:pt idx="2">
                  <c:v>Kararsızım</c:v>
                </c:pt>
                <c:pt idx="3">
                  <c:v>Katılmıyorum</c:v>
                </c:pt>
              </c:strCache>
            </c:strRef>
          </c:cat>
          <c:val>
            <c:numRef>
              <c:f>Sayfa1!$B$2:$B$5</c:f>
              <c:numCache>
                <c:formatCode>General</c:formatCode>
                <c:ptCount val="4"/>
                <c:pt idx="0">
                  <c:v>3</c:v>
                </c:pt>
                <c:pt idx="1">
                  <c:v>6</c:v>
                </c:pt>
                <c:pt idx="2">
                  <c:v>6</c:v>
                </c:pt>
                <c:pt idx="3">
                  <c:v>1.2</c:v>
                </c:pt>
              </c:numCache>
            </c:numRef>
          </c:val>
        </c:ser>
        <c:dLbls>
          <c:showPercent val="1"/>
        </c:dLbls>
        <c:firstSliceAng val="0"/>
      </c:pieChart>
      <c:spPr>
        <a:noFill/>
        <a:ln>
          <a:noFill/>
        </a:ln>
        <a:effectLst/>
      </c:spPr>
    </c:plotArea>
    <c:legend>
      <c:legendPos val="b"/>
      <c:layout/>
      <c:spPr>
        <a:solidFill>
          <a:schemeClr val="lt1">
            <a:alpha val="78000"/>
          </a:schemeClr>
        </a:solidFill>
        <a:ln>
          <a:noFill/>
        </a:ln>
        <a:effectLst/>
      </c:spPr>
      <c:txPr>
        <a:bodyPr rot="0" spcFirstLastPara="1" vertOverflow="ellipsis" vert="horz" wrap="square" anchor="ctr" anchorCtr="1"/>
        <a:lstStyle/>
        <a:p>
          <a:pPr>
            <a:defRPr lang="en-US" sz="1000" b="0" i="0" u="none" strike="noStrike" kern="1200" baseline="0">
              <a:solidFill>
                <a:schemeClr val="dk1">
                  <a:lumMod val="65000"/>
                  <a:lumOff val="35000"/>
                </a:schemeClr>
              </a:solidFill>
              <a:latin typeface="Times New Roman" pitchFamily="18" charset="0"/>
              <a:ea typeface="+mn-ea"/>
              <a:cs typeface="Times New Roman" pitchFamily="18" charset="0"/>
            </a:defRPr>
          </a:pPr>
          <a:endParaRPr lang="tr-TR"/>
        </a:p>
      </c:txPr>
    </c:legend>
    <c:plotVisOnly val="1"/>
    <c:dispBlanksAs val="zero"/>
  </c:chart>
  <c:spPr>
    <a:solidFill>
      <a:schemeClr val="bg1"/>
    </a:solidFill>
    <a:ln w="9525" cap="flat" cmpd="sng" algn="ctr">
      <a:solidFill>
        <a:schemeClr val="dk1">
          <a:lumMod val="15000"/>
          <a:lumOff val="85000"/>
        </a:schemeClr>
      </a:solidFill>
      <a:round/>
    </a:ln>
    <a:effectLst/>
  </c:spPr>
  <c:txPr>
    <a:bodyPr/>
    <a:lstStyle/>
    <a:p>
      <a:pPr>
        <a:defRPr/>
      </a:pPr>
      <a:endParaRPr lang="tr-T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tr-TR"/>
  <c:chart>
    <c:autoTitleDeleted val="1"/>
    <c:plotArea>
      <c:layout/>
      <c:pieChart>
        <c:varyColors val="1"/>
        <c:ser>
          <c:idx val="0"/>
          <c:order val="0"/>
          <c:tx>
            <c:strRef>
              <c:f>Sayfa1!$B$1</c:f>
              <c:strCache>
                <c:ptCount val="1"/>
                <c:pt idx="0">
                  <c:v>Cevaplar</c:v>
                </c:pt>
              </c:strCache>
            </c:strRef>
          </c:tx>
          <c:dPt>
            <c:idx val="0"/>
            <c:spPr>
              <a:solidFill>
                <a:schemeClr val="accent1"/>
              </a:solidFill>
              <a:ln>
                <a:noFill/>
              </a:ln>
              <a:effectLst>
                <a:outerShdw blurRad="317500" algn="ctr" rotWithShape="0">
                  <a:prstClr val="black">
                    <a:alpha val="25000"/>
                  </a:prstClr>
                </a:outerShdw>
              </a:effectLst>
            </c:spPr>
          </c:dPt>
          <c:dPt>
            <c:idx val="1"/>
            <c:spPr>
              <a:solidFill>
                <a:srgbClr val="FF0000"/>
              </a:solidFill>
              <a:ln>
                <a:noFill/>
              </a:ln>
              <a:effectLst>
                <a:outerShdw blurRad="317500" algn="ctr" rotWithShape="0">
                  <a:prstClr val="black">
                    <a:alpha val="25000"/>
                  </a:prstClr>
                </a:outerShdw>
              </a:effectLst>
            </c:spPr>
          </c:dPt>
          <c:dPt>
            <c:idx val="2"/>
            <c:spPr>
              <a:solidFill>
                <a:srgbClr val="00B050"/>
              </a:solidFill>
              <a:ln>
                <a:noFill/>
              </a:ln>
              <a:effectLst>
                <a:outerShdw blurRad="317500" algn="ctr" rotWithShape="0">
                  <a:prstClr val="black">
                    <a:alpha val="25000"/>
                  </a:prstClr>
                </a:outerShdw>
              </a:effectLst>
            </c:spPr>
          </c:dPt>
          <c:dPt>
            <c:idx val="3"/>
            <c:spPr>
              <a:solidFill>
                <a:schemeClr val="accent6"/>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lt1"/>
                    </a:solidFill>
                    <a:latin typeface="Times New Roman" pitchFamily="18" charset="0"/>
                    <a:ea typeface="+mn-ea"/>
                    <a:cs typeface="Times New Roman" pitchFamily="18" charset="0"/>
                  </a:defRPr>
                </a:pPr>
                <a:endParaRPr lang="tr-TR"/>
              </a:p>
            </c:txPr>
            <c:dLblPos val="inEnd"/>
            <c:showPercent val="1"/>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Sayfa1!$A$2:$A$5</c:f>
              <c:strCache>
                <c:ptCount val="4"/>
                <c:pt idx="0">
                  <c:v>Kesinlikle katılıyorum</c:v>
                </c:pt>
                <c:pt idx="1">
                  <c:v>Katılıyorum</c:v>
                </c:pt>
                <c:pt idx="2">
                  <c:v>Kararsızım</c:v>
                </c:pt>
                <c:pt idx="3">
                  <c:v>Katılmıyorum</c:v>
                </c:pt>
              </c:strCache>
            </c:strRef>
          </c:cat>
          <c:val>
            <c:numRef>
              <c:f>Sayfa1!$B$2:$B$5</c:f>
              <c:numCache>
                <c:formatCode>General</c:formatCode>
                <c:ptCount val="4"/>
                <c:pt idx="0">
                  <c:v>6</c:v>
                </c:pt>
                <c:pt idx="1">
                  <c:v>9</c:v>
                </c:pt>
                <c:pt idx="2">
                  <c:v>2</c:v>
                </c:pt>
                <c:pt idx="3">
                  <c:v>1.2</c:v>
                </c:pt>
              </c:numCache>
            </c:numRef>
          </c:val>
        </c:ser>
        <c:dLbls>
          <c:showPercent val="1"/>
        </c:dLbls>
        <c:firstSliceAng val="0"/>
      </c:pieChart>
      <c:spPr>
        <a:noFill/>
        <a:ln>
          <a:noFill/>
        </a:ln>
        <a:effectLst/>
      </c:spPr>
    </c:plotArea>
    <c:legend>
      <c:legendPos val="b"/>
      <c:layout/>
      <c:spPr>
        <a:solidFill>
          <a:schemeClr val="lt1">
            <a:alpha val="78000"/>
          </a:schemeClr>
        </a:solidFill>
        <a:ln>
          <a:noFill/>
        </a:ln>
        <a:effectLst/>
      </c:spPr>
      <c:txPr>
        <a:bodyPr rot="0" spcFirstLastPara="1" vertOverflow="ellipsis" vert="horz" wrap="square" anchor="ctr" anchorCtr="1"/>
        <a:lstStyle/>
        <a:p>
          <a:pPr>
            <a:defRPr lang="en-US" sz="1000" b="0" i="0" u="none" strike="noStrike" kern="1200" baseline="0">
              <a:solidFill>
                <a:schemeClr val="dk1">
                  <a:lumMod val="65000"/>
                  <a:lumOff val="35000"/>
                </a:schemeClr>
              </a:solidFill>
              <a:latin typeface="Times New Roman" pitchFamily="18" charset="0"/>
              <a:ea typeface="+mn-ea"/>
              <a:cs typeface="Times New Roman" pitchFamily="18" charset="0"/>
            </a:defRPr>
          </a:pPr>
          <a:endParaRPr lang="tr-TR"/>
        </a:p>
      </c:txPr>
    </c:legend>
    <c:plotVisOnly val="1"/>
    <c:dispBlanksAs val="zero"/>
  </c:chart>
  <c:spPr>
    <a:solidFill>
      <a:schemeClr val="bg1"/>
    </a:solidFill>
    <a:ln w="9525" cap="flat" cmpd="sng" algn="ctr">
      <a:solidFill>
        <a:schemeClr val="dk1">
          <a:lumMod val="15000"/>
          <a:lumOff val="85000"/>
        </a:schemeClr>
      </a:solidFill>
      <a:round/>
    </a:ln>
    <a:effectLst/>
  </c:spPr>
  <c:txPr>
    <a:bodyPr/>
    <a:lstStyle/>
    <a:p>
      <a:pPr>
        <a:defRPr/>
      </a:pPr>
      <a:endParaRPr lang="tr-T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tr-TR"/>
  <c:chart>
    <c:autoTitleDeleted val="1"/>
    <c:plotArea>
      <c:layout/>
      <c:pieChart>
        <c:varyColors val="1"/>
        <c:ser>
          <c:idx val="0"/>
          <c:order val="0"/>
          <c:tx>
            <c:strRef>
              <c:f>Sayfa1!$B$1</c:f>
              <c:strCache>
                <c:ptCount val="1"/>
                <c:pt idx="0">
                  <c:v>Cevaplar</c:v>
                </c:pt>
              </c:strCache>
            </c:strRef>
          </c:tx>
          <c:dPt>
            <c:idx val="0"/>
            <c:spPr>
              <a:solidFill>
                <a:schemeClr val="accent1"/>
              </a:solidFill>
              <a:ln>
                <a:noFill/>
              </a:ln>
              <a:effectLst>
                <a:outerShdw blurRad="317500" algn="ctr" rotWithShape="0">
                  <a:prstClr val="black">
                    <a:alpha val="25000"/>
                  </a:prstClr>
                </a:outerShdw>
              </a:effectLst>
            </c:spPr>
          </c:dPt>
          <c:dPt>
            <c:idx val="1"/>
            <c:spPr>
              <a:solidFill>
                <a:srgbClr val="FF0000"/>
              </a:solidFill>
              <a:ln>
                <a:noFill/>
              </a:ln>
              <a:effectLst>
                <a:outerShdw blurRad="317500" algn="ctr" rotWithShape="0">
                  <a:prstClr val="black">
                    <a:alpha val="25000"/>
                  </a:prstClr>
                </a:outerShdw>
              </a:effectLst>
            </c:spPr>
          </c:dPt>
          <c:dPt>
            <c:idx val="2"/>
            <c:spPr>
              <a:solidFill>
                <a:srgbClr val="00B050"/>
              </a:solidFill>
              <a:ln>
                <a:noFill/>
              </a:ln>
              <a:effectLst>
                <a:outerShdw blurRad="317500" algn="ctr" rotWithShape="0">
                  <a:prstClr val="black">
                    <a:alpha val="25000"/>
                  </a:prstClr>
                </a:outerShdw>
              </a:effectLst>
            </c:spPr>
          </c:dPt>
          <c:dPt>
            <c:idx val="3"/>
            <c:spPr>
              <a:solidFill>
                <a:schemeClr val="accent6"/>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lt1"/>
                    </a:solidFill>
                    <a:latin typeface="Times New Roman" pitchFamily="18" charset="0"/>
                    <a:ea typeface="+mn-ea"/>
                    <a:cs typeface="Times New Roman" pitchFamily="18" charset="0"/>
                  </a:defRPr>
                </a:pPr>
                <a:endParaRPr lang="tr-TR"/>
              </a:p>
            </c:txPr>
            <c:dLblPos val="inEnd"/>
            <c:showPercent val="1"/>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Sayfa1!$A$2:$A$5</c:f>
              <c:strCache>
                <c:ptCount val="4"/>
                <c:pt idx="0">
                  <c:v>Kesinlikle katılıyorum</c:v>
                </c:pt>
                <c:pt idx="1">
                  <c:v>Katılıyorum</c:v>
                </c:pt>
                <c:pt idx="2">
                  <c:v>Kararsızım</c:v>
                </c:pt>
                <c:pt idx="3">
                  <c:v>Katılmıyorum</c:v>
                </c:pt>
              </c:strCache>
            </c:strRef>
          </c:cat>
          <c:val>
            <c:numRef>
              <c:f>Sayfa1!$B$2:$B$5</c:f>
              <c:numCache>
                <c:formatCode>General</c:formatCode>
                <c:ptCount val="4"/>
                <c:pt idx="0">
                  <c:v>9</c:v>
                </c:pt>
                <c:pt idx="1">
                  <c:v>9</c:v>
                </c:pt>
                <c:pt idx="2">
                  <c:v>1</c:v>
                </c:pt>
                <c:pt idx="3">
                  <c:v>2</c:v>
                </c:pt>
              </c:numCache>
            </c:numRef>
          </c:val>
        </c:ser>
        <c:dLbls>
          <c:showPercent val="1"/>
        </c:dLbls>
        <c:firstSliceAng val="0"/>
      </c:pieChart>
      <c:spPr>
        <a:noFill/>
        <a:ln>
          <a:noFill/>
        </a:ln>
        <a:effectLst/>
      </c:spPr>
    </c:plotArea>
    <c:legend>
      <c:legendPos val="b"/>
      <c:layout/>
      <c:spPr>
        <a:solidFill>
          <a:schemeClr val="lt1">
            <a:alpha val="78000"/>
          </a:schemeClr>
        </a:solidFill>
        <a:ln>
          <a:noFill/>
        </a:ln>
        <a:effectLst/>
      </c:spPr>
      <c:txPr>
        <a:bodyPr rot="0" spcFirstLastPara="1" vertOverflow="ellipsis" vert="horz" wrap="square" anchor="ctr" anchorCtr="1"/>
        <a:lstStyle/>
        <a:p>
          <a:pPr>
            <a:defRPr lang="en-US" sz="1000" b="0" i="0" u="none" strike="noStrike" kern="1200" baseline="0">
              <a:solidFill>
                <a:schemeClr val="dk1">
                  <a:lumMod val="65000"/>
                  <a:lumOff val="35000"/>
                </a:schemeClr>
              </a:solidFill>
              <a:latin typeface="Times New Roman" pitchFamily="18" charset="0"/>
              <a:ea typeface="+mn-ea"/>
              <a:cs typeface="Times New Roman" pitchFamily="18" charset="0"/>
            </a:defRPr>
          </a:pPr>
          <a:endParaRPr lang="tr-TR"/>
        </a:p>
      </c:txPr>
    </c:legend>
    <c:plotVisOnly val="1"/>
    <c:dispBlanksAs val="zero"/>
  </c:chart>
  <c:spPr>
    <a:solidFill>
      <a:schemeClr val="bg1"/>
    </a:solidFill>
    <a:ln w="9525" cap="flat" cmpd="sng" algn="ctr">
      <a:solidFill>
        <a:schemeClr val="dk1">
          <a:lumMod val="15000"/>
          <a:lumOff val="85000"/>
        </a:schemeClr>
      </a:solidFill>
      <a:round/>
    </a:ln>
    <a:effectLst/>
  </c:spPr>
  <c:txPr>
    <a:bodyPr/>
    <a:lstStyle/>
    <a:p>
      <a:pPr>
        <a:defRPr/>
      </a:pPr>
      <a:endParaRPr lang="tr-TR"/>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tr-TR"/>
  <c:chart>
    <c:autoTitleDeleted val="1"/>
    <c:plotArea>
      <c:layout/>
      <c:pieChart>
        <c:varyColors val="1"/>
        <c:ser>
          <c:idx val="0"/>
          <c:order val="0"/>
          <c:tx>
            <c:strRef>
              <c:f>Sayfa1!$B$1</c:f>
              <c:strCache>
                <c:ptCount val="1"/>
                <c:pt idx="0">
                  <c:v>Cevaplar</c:v>
                </c:pt>
              </c:strCache>
            </c:strRef>
          </c:tx>
          <c:dPt>
            <c:idx val="0"/>
            <c:spPr>
              <a:solidFill>
                <a:schemeClr val="accent1"/>
              </a:solidFill>
              <a:ln>
                <a:noFill/>
              </a:ln>
              <a:effectLst>
                <a:outerShdw blurRad="317500" algn="ctr" rotWithShape="0">
                  <a:prstClr val="black">
                    <a:alpha val="25000"/>
                  </a:prstClr>
                </a:outerShdw>
              </a:effectLst>
            </c:spPr>
          </c:dPt>
          <c:dPt>
            <c:idx val="1"/>
            <c:spPr>
              <a:solidFill>
                <a:srgbClr val="FF0000"/>
              </a:solidFill>
              <a:ln>
                <a:noFill/>
              </a:ln>
              <a:effectLst>
                <a:outerShdw blurRad="317500" algn="ctr" rotWithShape="0">
                  <a:prstClr val="black">
                    <a:alpha val="25000"/>
                  </a:prstClr>
                </a:outerShdw>
              </a:effectLst>
            </c:spPr>
          </c:dPt>
          <c:dPt>
            <c:idx val="2"/>
            <c:spPr>
              <a:solidFill>
                <a:srgbClr val="00B050"/>
              </a:solidFill>
              <a:ln>
                <a:noFill/>
              </a:ln>
              <a:effectLst>
                <a:outerShdw blurRad="317500" algn="ctr" rotWithShape="0">
                  <a:prstClr val="black">
                    <a:alpha val="25000"/>
                  </a:prstClr>
                </a:outerShdw>
              </a:effectLst>
            </c:spPr>
          </c:dPt>
          <c:dPt>
            <c:idx val="3"/>
            <c:spPr>
              <a:solidFill>
                <a:schemeClr val="accent6"/>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lt1"/>
                    </a:solidFill>
                    <a:latin typeface="Times New Roman" pitchFamily="18" charset="0"/>
                    <a:ea typeface="+mn-ea"/>
                    <a:cs typeface="Times New Roman" pitchFamily="18" charset="0"/>
                  </a:defRPr>
                </a:pPr>
                <a:endParaRPr lang="tr-TR"/>
              </a:p>
            </c:txPr>
            <c:dLblPos val="inEnd"/>
            <c:showPercent val="1"/>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Sayfa1!$A$2:$A$5</c:f>
              <c:strCache>
                <c:ptCount val="4"/>
                <c:pt idx="0">
                  <c:v>Kesinlikle katılıyorum</c:v>
                </c:pt>
                <c:pt idx="1">
                  <c:v>Katılıyorum</c:v>
                </c:pt>
                <c:pt idx="2">
                  <c:v>Kararsızım</c:v>
                </c:pt>
                <c:pt idx="3">
                  <c:v>Katılmıyorum</c:v>
                </c:pt>
              </c:strCache>
            </c:strRef>
          </c:cat>
          <c:val>
            <c:numRef>
              <c:f>Sayfa1!$B$2:$B$5</c:f>
              <c:numCache>
                <c:formatCode>General</c:formatCode>
                <c:ptCount val="4"/>
                <c:pt idx="0">
                  <c:v>6</c:v>
                </c:pt>
                <c:pt idx="1">
                  <c:v>7</c:v>
                </c:pt>
                <c:pt idx="2">
                  <c:v>2</c:v>
                </c:pt>
                <c:pt idx="3">
                  <c:v>1.2</c:v>
                </c:pt>
              </c:numCache>
            </c:numRef>
          </c:val>
        </c:ser>
        <c:dLbls>
          <c:showPercent val="1"/>
        </c:dLbls>
        <c:firstSliceAng val="0"/>
      </c:pieChart>
      <c:spPr>
        <a:noFill/>
        <a:ln>
          <a:noFill/>
        </a:ln>
        <a:effectLst/>
      </c:spPr>
    </c:plotArea>
    <c:legend>
      <c:legendPos val="b"/>
      <c:layout/>
      <c:spPr>
        <a:solidFill>
          <a:schemeClr val="lt1">
            <a:alpha val="78000"/>
          </a:schemeClr>
        </a:solidFill>
        <a:ln>
          <a:noFill/>
        </a:ln>
        <a:effectLst/>
      </c:spPr>
      <c:txPr>
        <a:bodyPr rot="0" spcFirstLastPara="1" vertOverflow="ellipsis" vert="horz" wrap="square" anchor="ctr" anchorCtr="1"/>
        <a:lstStyle/>
        <a:p>
          <a:pPr>
            <a:defRPr lang="en-US" sz="1000" b="0" i="0" u="none" strike="noStrike" kern="1200" baseline="0">
              <a:solidFill>
                <a:schemeClr val="dk1">
                  <a:lumMod val="65000"/>
                  <a:lumOff val="35000"/>
                </a:schemeClr>
              </a:solidFill>
              <a:latin typeface="Times New Roman" pitchFamily="18" charset="0"/>
              <a:ea typeface="+mn-ea"/>
              <a:cs typeface="Times New Roman" pitchFamily="18" charset="0"/>
            </a:defRPr>
          </a:pPr>
          <a:endParaRPr lang="tr-TR"/>
        </a:p>
      </c:txPr>
    </c:legend>
    <c:plotVisOnly val="1"/>
    <c:dispBlanksAs val="zero"/>
  </c:chart>
  <c:spPr>
    <a:solidFill>
      <a:schemeClr val="bg1"/>
    </a:solidFill>
    <a:ln w="9525" cap="flat" cmpd="sng" algn="ctr">
      <a:solidFill>
        <a:schemeClr val="dk1">
          <a:lumMod val="15000"/>
          <a:lumOff val="85000"/>
        </a:schemeClr>
      </a:solidFill>
      <a:round/>
    </a:ln>
    <a:effectLst/>
  </c:spPr>
  <c:txPr>
    <a:bodyPr/>
    <a:lstStyle/>
    <a:p>
      <a:pPr>
        <a:defRPr/>
      </a:pPr>
      <a:endParaRPr lang="tr-TR"/>
    </a:p>
  </c:txPr>
  <c:externalData r:id="rId1"/>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C81B9-97B5-914C-A156-E9D2ECEE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14</Pages>
  <Words>3106</Words>
  <Characters>23187</Characters>
  <Application>Microsoft Office Word</Application>
  <DocSecurity>0</DocSecurity>
  <Lines>449</Lines>
  <Paragraphs>111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Özhan Sağlık</dc:creator>
  <cp:keywords/>
  <dc:description/>
  <cp:lastModifiedBy>Özhan</cp:lastModifiedBy>
  <cp:revision>115</cp:revision>
  <dcterms:created xsi:type="dcterms:W3CDTF">2014-04-13T09:09:00Z</dcterms:created>
  <dcterms:modified xsi:type="dcterms:W3CDTF">2014-05-18T12:38:00Z</dcterms:modified>
</cp:coreProperties>
</file>