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D1" w:rsidRDefault="008947D1" w:rsidP="002968D0">
      <w:pPr>
        <w:pStyle w:val="Titre"/>
        <w:spacing w:before="600" w:line="240" w:lineRule="auto"/>
        <w:rPr>
          <w:rFonts w:eastAsia="Calibri"/>
          <w:sz w:val="36"/>
          <w:szCs w:val="36"/>
          <w:lang w:eastAsia="en-US"/>
        </w:rPr>
      </w:pPr>
      <w:r w:rsidRPr="008947D1">
        <w:rPr>
          <w:rFonts w:eastAsia="Calibri"/>
          <w:sz w:val="36"/>
          <w:szCs w:val="36"/>
          <w:lang w:eastAsia="en-US"/>
        </w:rPr>
        <w:t>Le droit de publication secondaire – quelle valeur et quelles perspectives ?</w:t>
      </w:r>
    </w:p>
    <w:p w:rsidR="008947D1" w:rsidRPr="008947D1" w:rsidRDefault="008947D1" w:rsidP="007D388F">
      <w:pPr>
        <w:pStyle w:val="Titre"/>
        <w:spacing w:before="0" w:line="240" w:lineRule="auto"/>
        <w:rPr>
          <w:i/>
          <w:sz w:val="28"/>
          <w:szCs w:val="28"/>
          <w:lang w:val="en-US"/>
        </w:rPr>
      </w:pPr>
      <w:r w:rsidRPr="008947D1">
        <w:rPr>
          <w:i/>
          <w:sz w:val="28"/>
          <w:szCs w:val="28"/>
          <w:lang w:val="en-US"/>
        </w:rPr>
        <w:t>Secondary publication rights – what is the value, what are the prospects?</w:t>
      </w:r>
    </w:p>
    <w:p w:rsidR="00875754" w:rsidRPr="00C5199C" w:rsidRDefault="000A73D4" w:rsidP="00C5199C">
      <w:pPr>
        <w:pStyle w:val="Affiliation"/>
        <w:spacing w:line="276" w:lineRule="auto"/>
        <w:jc w:val="center"/>
        <w:rPr>
          <w:sz w:val="24"/>
          <w:szCs w:val="24"/>
        </w:rPr>
      </w:pPr>
      <w:r w:rsidRPr="00C5199C">
        <w:rPr>
          <w:b/>
          <w:bCs/>
          <w:sz w:val="24"/>
          <w:szCs w:val="24"/>
        </w:rPr>
        <w:t xml:space="preserve">Herbert </w:t>
      </w:r>
      <w:proofErr w:type="spellStart"/>
      <w:r w:rsidRPr="00C5199C">
        <w:rPr>
          <w:b/>
          <w:bCs/>
          <w:sz w:val="24"/>
          <w:szCs w:val="24"/>
        </w:rPr>
        <w:t>Gruttemeier</w:t>
      </w:r>
      <w:proofErr w:type="spellEnd"/>
    </w:p>
    <w:p w:rsidR="000A73D4" w:rsidRDefault="000A73D4" w:rsidP="00C5199C">
      <w:pPr>
        <w:pStyle w:val="Rsum"/>
        <w:spacing w:before="0" w:line="276" w:lineRule="auto"/>
        <w:jc w:val="left"/>
      </w:pPr>
      <w:r>
        <w:t>Institut de l’information scientifique et technique (</w:t>
      </w:r>
      <w:proofErr w:type="spellStart"/>
      <w:r>
        <w:t>Inist</w:t>
      </w:r>
      <w:proofErr w:type="spellEnd"/>
      <w:r>
        <w:t>-CNRS)</w:t>
      </w:r>
      <w:r w:rsidR="00C5199C">
        <w:t>,</w:t>
      </w:r>
    </w:p>
    <w:p w:rsidR="00886F49" w:rsidRPr="00886F49" w:rsidRDefault="000A73D4" w:rsidP="00C5199C">
      <w:pPr>
        <w:pStyle w:val="Rsum"/>
        <w:spacing w:before="0" w:line="276" w:lineRule="auto"/>
        <w:jc w:val="left"/>
      </w:pPr>
      <w:r>
        <w:t xml:space="preserve">2 allée du Parc de </w:t>
      </w:r>
      <w:proofErr w:type="spellStart"/>
      <w:r>
        <w:t>Brabois</w:t>
      </w:r>
      <w:proofErr w:type="spellEnd"/>
      <w:r>
        <w:t xml:space="preserve">, 54519 </w:t>
      </w:r>
      <w:proofErr w:type="spellStart"/>
      <w:r>
        <w:t>Vandoeuvre-lès-Nancy</w:t>
      </w:r>
      <w:proofErr w:type="spellEnd"/>
      <w:r>
        <w:t>, France</w:t>
      </w:r>
    </w:p>
    <w:p w:rsidR="00875754" w:rsidRDefault="00875754" w:rsidP="00C5199C">
      <w:pPr>
        <w:spacing w:line="276" w:lineRule="auto"/>
        <w:sectPr w:rsidR="00875754" w:rsidSect="00DF5866">
          <w:headerReference w:type="even" r:id="rId8"/>
          <w:headerReference w:type="default" r:id="rId9"/>
          <w:footerReference w:type="default" r:id="rId10"/>
          <w:footerReference w:type="first" r:id="rId11"/>
          <w:type w:val="oddPage"/>
          <w:pgSz w:w="9072" w:h="13608"/>
          <w:pgMar w:top="1134" w:right="1417" w:bottom="1134" w:left="1134" w:header="567" w:footer="567" w:gutter="284"/>
          <w:pgNumType w:start="1"/>
          <w:cols w:space="709"/>
          <w:titlePg/>
        </w:sectPr>
      </w:pPr>
    </w:p>
    <w:p w:rsidR="0067398B" w:rsidRPr="00220DA1" w:rsidRDefault="00DB52E5" w:rsidP="000F40B0">
      <w:pPr>
        <w:pStyle w:val="StyleRsumGras"/>
        <w:spacing w:after="240"/>
        <w:ind w:left="142" w:hanging="142"/>
      </w:pPr>
      <w:r w:rsidRPr="00220DA1">
        <w:t xml:space="preserve">Résumé </w:t>
      </w:r>
      <w:r w:rsidR="004A62D3" w:rsidRPr="00BC71F0">
        <w:rPr>
          <w:b w:val="0"/>
        </w:rPr>
        <w:t xml:space="preserve">Plusieurs pays européens, dont la France en 2016, ont introduit dans leur législation nationale un droit qui, sous certaines conditions, permet à l’auteur d’un article scientifique de disposer librement de son texte au bout d’un temps défini après sa parution </w:t>
      </w:r>
      <w:r w:rsidR="00237982">
        <w:rPr>
          <w:b w:val="0"/>
        </w:rPr>
        <w:t xml:space="preserve">initiale </w:t>
      </w:r>
      <w:r w:rsidR="004A62D3" w:rsidRPr="00BC71F0">
        <w:rPr>
          <w:b w:val="0"/>
        </w:rPr>
        <w:t xml:space="preserve">dans une revue. Ce droit dit ‘de publication secondaire’ fournit </w:t>
      </w:r>
      <w:r w:rsidR="00C66AFB">
        <w:rPr>
          <w:b w:val="0"/>
        </w:rPr>
        <w:t>en particulier</w:t>
      </w:r>
      <w:r w:rsidR="004A62D3" w:rsidRPr="00BC71F0">
        <w:rPr>
          <w:b w:val="0"/>
        </w:rPr>
        <w:t xml:space="preserve"> un cadre juridique sécurisé pour la voie verte du Libre accès. Malgré quelques incertitudes </w:t>
      </w:r>
      <w:r w:rsidR="000F40B0">
        <w:rPr>
          <w:b w:val="0"/>
        </w:rPr>
        <w:t xml:space="preserve">persistantes </w:t>
      </w:r>
      <w:r w:rsidR="004A62D3" w:rsidRPr="00BC71F0">
        <w:rPr>
          <w:b w:val="0"/>
        </w:rPr>
        <w:t>sur ses modalités d’application et sur son impact réel à court terme, le droit présente toutes les caractéristiques d’une avancée</w:t>
      </w:r>
      <w:r w:rsidR="00647763">
        <w:rPr>
          <w:b w:val="0"/>
        </w:rPr>
        <w:t xml:space="preserve"> significative</w:t>
      </w:r>
      <w:r w:rsidR="004A62D3" w:rsidRPr="00BC71F0">
        <w:rPr>
          <w:b w:val="0"/>
        </w:rPr>
        <w:t>, aussi bien en faveur des auteurs dans leurs relations avec les éditeurs que dans la prise en compte des enjeux d</w:t>
      </w:r>
      <w:r w:rsidR="00B91AC0">
        <w:rPr>
          <w:b w:val="0"/>
        </w:rPr>
        <w:t>u</w:t>
      </w:r>
      <w:r w:rsidR="004A62D3" w:rsidRPr="00BC71F0">
        <w:rPr>
          <w:b w:val="0"/>
        </w:rPr>
        <w:t xml:space="preserve"> Libre accès par la politique en général.</w:t>
      </w:r>
    </w:p>
    <w:p w:rsidR="0067398B" w:rsidRDefault="00DB52E5" w:rsidP="00BC71F0">
      <w:pPr>
        <w:pStyle w:val="Motsclefs"/>
        <w:ind w:left="142" w:hanging="142"/>
      </w:pPr>
      <w:r>
        <w:rPr>
          <w:b/>
          <w:bCs/>
        </w:rPr>
        <w:t>Mots-clés</w:t>
      </w:r>
      <w:r>
        <w:t>.</w:t>
      </w:r>
      <w:r w:rsidR="000707D6">
        <w:t xml:space="preserve"> Publication secondaire, Droit auteur, Voie verte, Législation nationale, Loi numérique française</w:t>
      </w:r>
    </w:p>
    <w:p w:rsidR="00B91AC0" w:rsidRPr="009F34D8" w:rsidRDefault="00875754" w:rsidP="00C52D1E">
      <w:pPr>
        <w:pStyle w:val="StyleRsumGras"/>
        <w:spacing w:after="240"/>
        <w:ind w:left="142" w:hanging="142"/>
        <w:rPr>
          <w:rFonts w:eastAsia="Times New Roman"/>
          <w:lang w:val="en-US"/>
        </w:rPr>
      </w:pPr>
      <w:r w:rsidRPr="00ED09F1">
        <w:rPr>
          <w:lang w:val="en-US"/>
        </w:rPr>
        <w:br w:type="column"/>
      </w:r>
      <w:r w:rsidR="00DB52E5" w:rsidRPr="00B91AC0">
        <w:rPr>
          <w:lang w:val="en-US"/>
        </w:rPr>
        <w:t xml:space="preserve">Abstract </w:t>
      </w:r>
      <w:r w:rsidR="00B91AC0" w:rsidRPr="00B91AC0">
        <w:rPr>
          <w:rFonts w:eastAsia="Times New Roman"/>
          <w:b w:val="0"/>
          <w:lang w:val="en-US"/>
        </w:rPr>
        <w:t xml:space="preserve">Several European countries, including France in 2016, </w:t>
      </w:r>
      <w:r w:rsidR="00B91AC0">
        <w:rPr>
          <w:rFonts w:eastAsia="Times New Roman"/>
          <w:b w:val="0"/>
          <w:lang w:val="en-US"/>
        </w:rPr>
        <w:t xml:space="preserve">have </w:t>
      </w:r>
      <w:r w:rsidR="00B91AC0" w:rsidRPr="00B91AC0">
        <w:rPr>
          <w:rFonts w:eastAsia="Times New Roman"/>
          <w:b w:val="0"/>
          <w:lang w:val="en-US"/>
        </w:rPr>
        <w:t>introduced a new right into their national l</w:t>
      </w:r>
      <w:r w:rsidR="00B91AC0">
        <w:rPr>
          <w:rFonts w:eastAsia="Times New Roman"/>
          <w:b w:val="0"/>
          <w:lang w:val="en-US"/>
        </w:rPr>
        <w:t>aws</w:t>
      </w:r>
      <w:r w:rsidR="00B91AC0" w:rsidRPr="00B91AC0">
        <w:rPr>
          <w:rFonts w:eastAsia="Times New Roman"/>
          <w:b w:val="0"/>
          <w:lang w:val="en-US"/>
        </w:rPr>
        <w:t xml:space="preserve"> which allows the author of a scientific article, under certain conditions, to make free use of his </w:t>
      </w:r>
      <w:r w:rsidR="00B91AC0">
        <w:rPr>
          <w:rFonts w:eastAsia="Times New Roman"/>
          <w:b w:val="0"/>
          <w:lang w:val="en-US"/>
        </w:rPr>
        <w:t xml:space="preserve">(her) </w:t>
      </w:r>
      <w:r w:rsidR="00B91AC0" w:rsidRPr="00B91AC0">
        <w:rPr>
          <w:rFonts w:eastAsia="Times New Roman"/>
          <w:b w:val="0"/>
          <w:lang w:val="en-US"/>
        </w:rPr>
        <w:t>paper after a given period of time following its initial publication in a scholarly journal. This so-called secondary publication right provides, in particular, a secure legal framework for green Open Access. Despite some remaining uncertainties about details of application rules and about its short-term impact, this legal right presents evidence of real progress, by strengthening the authors’ position in their relation with publishers a</w:t>
      </w:r>
      <w:r w:rsidR="00B91AC0">
        <w:rPr>
          <w:rFonts w:eastAsia="Times New Roman"/>
          <w:b w:val="0"/>
          <w:lang w:val="en-US"/>
        </w:rPr>
        <w:t>nd</w:t>
      </w:r>
      <w:r w:rsidR="00B91AC0" w:rsidRPr="00B91AC0">
        <w:rPr>
          <w:rFonts w:eastAsia="Times New Roman"/>
          <w:b w:val="0"/>
          <w:lang w:val="en-US"/>
        </w:rPr>
        <w:t xml:space="preserve">, more generally, by reflecting increased </w:t>
      </w:r>
      <w:r w:rsidR="00B91AC0">
        <w:rPr>
          <w:rFonts w:eastAsia="Times New Roman"/>
          <w:b w:val="0"/>
          <w:lang w:val="en-US"/>
        </w:rPr>
        <w:t xml:space="preserve">awareness </w:t>
      </w:r>
      <w:r w:rsidR="00B91AC0" w:rsidRPr="00B91AC0">
        <w:rPr>
          <w:rFonts w:eastAsia="Times New Roman"/>
          <w:b w:val="0"/>
          <w:lang w:val="en-US"/>
        </w:rPr>
        <w:t xml:space="preserve">and </w:t>
      </w:r>
      <w:r w:rsidR="00B91AC0">
        <w:rPr>
          <w:rFonts w:eastAsia="Times New Roman"/>
          <w:b w:val="0"/>
          <w:lang w:val="en-US"/>
        </w:rPr>
        <w:t>support</w:t>
      </w:r>
      <w:r w:rsidR="00B91AC0" w:rsidRPr="00B91AC0">
        <w:rPr>
          <w:rFonts w:eastAsia="Times New Roman"/>
          <w:b w:val="0"/>
          <w:lang w:val="en-US"/>
        </w:rPr>
        <w:t xml:space="preserve"> of Open Access by policy makers.</w:t>
      </w:r>
    </w:p>
    <w:p w:rsidR="003459B2" w:rsidRPr="000707D6" w:rsidRDefault="00DB52E5" w:rsidP="00B64DB0">
      <w:pPr>
        <w:pStyle w:val="Motsclefs"/>
        <w:ind w:left="142" w:hanging="142"/>
        <w:rPr>
          <w:lang w:val="en-US"/>
        </w:rPr>
      </w:pPr>
      <w:r w:rsidRPr="006E5588">
        <w:rPr>
          <w:b/>
          <w:bCs/>
          <w:lang w:val="en-US"/>
        </w:rPr>
        <w:t>Keywords</w:t>
      </w:r>
      <w:r w:rsidRPr="006E5588">
        <w:rPr>
          <w:lang w:val="en-US"/>
        </w:rPr>
        <w:t xml:space="preserve">. </w:t>
      </w:r>
      <w:r w:rsidR="000707D6" w:rsidRPr="000707D6">
        <w:rPr>
          <w:lang w:val="en-US"/>
        </w:rPr>
        <w:t>Secondary publication, Copyright, Green road, National legis</w:t>
      </w:r>
      <w:r w:rsidR="00B91AC0">
        <w:rPr>
          <w:lang w:val="en-US"/>
        </w:rPr>
        <w:t>l</w:t>
      </w:r>
      <w:r w:rsidR="000707D6" w:rsidRPr="000707D6">
        <w:rPr>
          <w:lang w:val="en-US"/>
        </w:rPr>
        <w:t xml:space="preserve">ation, </w:t>
      </w:r>
      <w:r w:rsidRPr="000707D6">
        <w:rPr>
          <w:lang w:val="en-US"/>
        </w:rPr>
        <w:t>Fr</w:t>
      </w:r>
      <w:r w:rsidR="000707D6" w:rsidRPr="000707D6">
        <w:rPr>
          <w:lang w:val="en-US"/>
        </w:rPr>
        <w:t>e</w:t>
      </w:r>
      <w:r w:rsidRPr="000707D6">
        <w:rPr>
          <w:lang w:val="en-US"/>
        </w:rPr>
        <w:t>n</w:t>
      </w:r>
      <w:r w:rsidR="000707D6" w:rsidRPr="000707D6">
        <w:rPr>
          <w:lang w:val="en-US"/>
        </w:rPr>
        <w:t xml:space="preserve">ch Digital </w:t>
      </w:r>
      <w:r w:rsidR="006E5588">
        <w:rPr>
          <w:lang w:val="en-US"/>
        </w:rPr>
        <w:t>Republic bill</w:t>
      </w:r>
    </w:p>
    <w:p w:rsidR="00875754" w:rsidRPr="000707D6" w:rsidRDefault="00875754" w:rsidP="00DF5866">
      <w:pPr>
        <w:pStyle w:val="Paragraphe"/>
        <w:ind w:left="284"/>
        <w:rPr>
          <w:lang w:val="en-US"/>
        </w:rPr>
        <w:sectPr w:rsidR="00875754" w:rsidRPr="000707D6" w:rsidSect="00A90812">
          <w:type w:val="continuous"/>
          <w:pgSz w:w="9072" w:h="13608"/>
          <w:pgMar w:top="1134" w:right="1417" w:bottom="1134" w:left="1134" w:header="567" w:footer="567" w:gutter="284"/>
          <w:pgNumType w:start="1"/>
          <w:cols w:num="2" w:space="283"/>
          <w:titlePg/>
        </w:sectPr>
      </w:pPr>
    </w:p>
    <w:p w:rsidR="008947D1" w:rsidRPr="00886F49" w:rsidRDefault="008947D1" w:rsidP="00AE31A3">
      <w:pPr>
        <w:rPr>
          <w:lang w:val="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Introduction – de quoi s’agit-il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Le droit de publication secondaire permet à l’auteur d’un article scientifique, paru dans une revue, de le publier à nouveau, par exemple sous forme de dépôt dans une archive ouverte, sous certaines conditions et au terme d’une période d’embargo (typiquement 6 ou 12 mois). Le règlement s’applique aux recherches financées majoritairement sur fonds publics et exclut généralement une utilisation commerciale. L’auteur récupère ainsi le copyright de sa publication au bout d’un certain temps, sans égard au contrat qu’il a pu signer avec l’éditeur de la revue.</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Introduit d’abord par l’Allemagne en 2014 (et </w:t>
      </w:r>
      <w:r w:rsidR="00647763">
        <w:rPr>
          <w:rFonts w:ascii="Bodoni MT" w:eastAsia="Calibri" w:hAnsi="Bodoni MT"/>
          <w:sz w:val="22"/>
          <w:szCs w:val="22"/>
          <w:lang w:eastAsia="en-US"/>
        </w:rPr>
        <w:t>dan</w:t>
      </w:r>
      <w:r w:rsidRPr="008947D1">
        <w:rPr>
          <w:rFonts w:ascii="Bodoni MT" w:eastAsia="Calibri" w:hAnsi="Bodoni MT"/>
          <w:sz w:val="22"/>
          <w:szCs w:val="22"/>
          <w:lang w:eastAsia="en-US"/>
        </w:rPr>
        <w:t>s d’autres pays</w:t>
      </w:r>
      <w:r w:rsidR="00647763">
        <w:rPr>
          <w:rFonts w:ascii="Bodoni MT" w:eastAsia="Calibri" w:hAnsi="Bodoni MT"/>
          <w:sz w:val="22"/>
          <w:szCs w:val="22"/>
          <w:lang w:eastAsia="en-US"/>
        </w:rPr>
        <w:t xml:space="preserve"> par la suite</w:t>
      </w:r>
      <w:r w:rsidRPr="008947D1">
        <w:rPr>
          <w:rFonts w:ascii="Bodoni MT" w:eastAsia="Calibri" w:hAnsi="Bodoni MT"/>
          <w:sz w:val="22"/>
          <w:szCs w:val="22"/>
          <w:lang w:eastAsia="en-US"/>
        </w:rPr>
        <w:t xml:space="preserve">), ce type de droit a trouvé sa place dans la </w:t>
      </w:r>
      <w:r w:rsidR="001C1D68">
        <w:rPr>
          <w:rFonts w:ascii="Bodoni MT" w:eastAsia="Calibri" w:hAnsi="Bodoni MT"/>
          <w:sz w:val="22"/>
          <w:szCs w:val="22"/>
          <w:lang w:eastAsia="en-US"/>
        </w:rPr>
        <w:t>L</w:t>
      </w:r>
      <w:r w:rsidRPr="008947D1">
        <w:rPr>
          <w:rFonts w:ascii="Bodoni MT" w:eastAsia="Calibri" w:hAnsi="Bodoni MT"/>
          <w:sz w:val="22"/>
          <w:szCs w:val="22"/>
          <w:lang w:eastAsia="en-US"/>
        </w:rPr>
        <w:t xml:space="preserve">oi </w:t>
      </w:r>
      <w:r w:rsidR="001C1D68">
        <w:rPr>
          <w:rFonts w:ascii="Bodoni MT" w:eastAsia="Calibri" w:hAnsi="Bodoni MT"/>
          <w:sz w:val="22"/>
          <w:szCs w:val="22"/>
          <w:lang w:eastAsia="en-US"/>
        </w:rPr>
        <w:t>pour une Républiq</w:t>
      </w:r>
      <w:r w:rsidR="00FC3C29">
        <w:rPr>
          <w:rFonts w:ascii="Bodoni MT" w:eastAsia="Calibri" w:hAnsi="Bodoni MT"/>
          <w:sz w:val="22"/>
          <w:szCs w:val="22"/>
          <w:lang w:eastAsia="en-US"/>
        </w:rPr>
        <w:t xml:space="preserve">ue </w:t>
      </w:r>
      <w:r w:rsidRPr="008947D1">
        <w:rPr>
          <w:rFonts w:ascii="Bodoni MT" w:eastAsia="Calibri" w:hAnsi="Bodoni MT"/>
          <w:sz w:val="22"/>
          <w:szCs w:val="22"/>
          <w:lang w:eastAsia="en-US"/>
        </w:rPr>
        <w:t>numérique française</w:t>
      </w:r>
      <w:r w:rsidRPr="008947D1">
        <w:rPr>
          <w:rFonts w:ascii="Bodoni MT" w:eastAsia="Calibri" w:hAnsi="Bodoni MT"/>
          <w:sz w:val="22"/>
          <w:szCs w:val="22"/>
          <w:vertAlign w:val="superscript"/>
          <w:lang w:eastAsia="en-US"/>
        </w:rPr>
        <w:footnoteReference w:id="1"/>
      </w:r>
      <w:r w:rsidRPr="008947D1">
        <w:rPr>
          <w:rFonts w:ascii="Bodoni MT" w:eastAsia="Calibri" w:hAnsi="Bodoni MT"/>
          <w:sz w:val="22"/>
          <w:szCs w:val="22"/>
          <w:lang w:eastAsia="en-US"/>
        </w:rPr>
        <w:t xml:space="preserve"> de 2016, sous forme de l’article </w:t>
      </w:r>
      <w:r w:rsidR="001C1D68">
        <w:rPr>
          <w:rFonts w:ascii="Bodoni MT" w:eastAsia="Calibri" w:hAnsi="Bodoni MT"/>
          <w:sz w:val="22"/>
          <w:szCs w:val="22"/>
          <w:lang w:eastAsia="en-US"/>
        </w:rPr>
        <w:t>30</w:t>
      </w:r>
      <w:r w:rsidRPr="008947D1">
        <w:rPr>
          <w:rFonts w:ascii="Bodoni MT" w:eastAsia="Calibri" w:hAnsi="Bodoni MT"/>
          <w:sz w:val="22"/>
          <w:szCs w:val="22"/>
          <w:lang w:eastAsia="en-US"/>
        </w:rPr>
        <w:t xml:space="preserve">, sous le chapitre « Economie du savoir » de cette loi. L’article fait l’objet d’un ajout au </w:t>
      </w:r>
      <w:r w:rsidR="00050155">
        <w:rPr>
          <w:rFonts w:ascii="Bodoni MT" w:eastAsia="Calibri" w:hAnsi="Bodoni MT"/>
          <w:sz w:val="22"/>
          <w:szCs w:val="22"/>
          <w:lang w:eastAsia="en-US"/>
        </w:rPr>
        <w:t>C</w:t>
      </w:r>
      <w:r w:rsidRPr="008947D1">
        <w:rPr>
          <w:rFonts w:ascii="Bodoni MT" w:eastAsia="Calibri" w:hAnsi="Bodoni MT"/>
          <w:sz w:val="22"/>
          <w:szCs w:val="22"/>
          <w:lang w:eastAsia="en-US"/>
        </w:rPr>
        <w:t>ode de la recherche (au chapitre  « La valorisation des résultats de la recherche par les établissements et organismes de recherche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Dans le langage allemand, on le caractérise souvent comme un droit « inaliénable » </w:t>
      </w:r>
      <w:r w:rsidRPr="008947D1">
        <w:rPr>
          <w:rFonts w:ascii="Bodoni MT" w:eastAsia="Calibri" w:hAnsi="Bodoni MT"/>
          <w:i/>
          <w:sz w:val="22"/>
          <w:szCs w:val="22"/>
          <w:lang w:eastAsia="en-US"/>
        </w:rPr>
        <w:t>(« </w:t>
      </w:r>
      <w:proofErr w:type="spellStart"/>
      <w:r w:rsidRPr="008947D1">
        <w:rPr>
          <w:rFonts w:ascii="Bodoni MT" w:eastAsia="Calibri" w:hAnsi="Bodoni MT"/>
          <w:i/>
          <w:sz w:val="22"/>
          <w:szCs w:val="22"/>
          <w:lang w:eastAsia="en-US"/>
        </w:rPr>
        <w:t>unabdingbar</w:t>
      </w:r>
      <w:proofErr w:type="spellEnd"/>
      <w:r w:rsidRPr="008947D1">
        <w:rPr>
          <w:rFonts w:ascii="Bodoni MT" w:eastAsia="Calibri" w:hAnsi="Bodoni MT"/>
          <w:i/>
          <w:sz w:val="22"/>
          <w:szCs w:val="22"/>
          <w:lang w:eastAsia="en-US"/>
        </w:rPr>
        <w:t> »)</w:t>
      </w:r>
      <w:r w:rsidRPr="008947D1">
        <w:rPr>
          <w:rFonts w:ascii="Bodoni MT" w:eastAsia="Calibri" w:hAnsi="Bodoni MT"/>
          <w:sz w:val="22"/>
          <w:szCs w:val="22"/>
          <w:lang w:eastAsia="en-US"/>
        </w:rPr>
        <w:t xml:space="preserve">, pour souligner qu’un accord dérogatoire signé par ailleurs, au détriment de l’auteur, serait sans effet.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La motivation principale pour </w:t>
      </w:r>
      <w:r w:rsidR="00050155">
        <w:rPr>
          <w:rFonts w:ascii="Bodoni MT" w:eastAsia="Calibri" w:hAnsi="Bodoni MT"/>
          <w:sz w:val="22"/>
          <w:szCs w:val="22"/>
          <w:lang w:eastAsia="en-US"/>
        </w:rPr>
        <w:t xml:space="preserve">la création d’un tel </w:t>
      </w:r>
      <w:r w:rsidRPr="008947D1">
        <w:rPr>
          <w:rFonts w:ascii="Bodoni MT" w:eastAsia="Calibri" w:hAnsi="Bodoni MT"/>
          <w:sz w:val="22"/>
          <w:szCs w:val="22"/>
          <w:lang w:eastAsia="en-US"/>
        </w:rPr>
        <w:t>droit est sans doute l</w:t>
      </w:r>
      <w:r w:rsidR="00050155">
        <w:rPr>
          <w:rFonts w:ascii="Bodoni MT" w:eastAsia="Calibri" w:hAnsi="Bodoni MT"/>
          <w:sz w:val="22"/>
          <w:szCs w:val="22"/>
          <w:lang w:eastAsia="en-US"/>
        </w:rPr>
        <w:t>a volonté de</w:t>
      </w:r>
      <w:r w:rsidRPr="008947D1">
        <w:rPr>
          <w:rFonts w:ascii="Bodoni MT" w:eastAsia="Calibri" w:hAnsi="Bodoni MT"/>
          <w:sz w:val="22"/>
          <w:szCs w:val="22"/>
          <w:lang w:eastAsia="en-US"/>
        </w:rPr>
        <w:t xml:space="preserve"> «</w:t>
      </w:r>
      <w:r w:rsidR="00050155">
        <w:rPr>
          <w:rFonts w:ascii="Bodoni MT" w:eastAsia="Calibri" w:hAnsi="Bodoni MT"/>
          <w:sz w:val="22"/>
          <w:szCs w:val="22"/>
          <w:lang w:eastAsia="en-US"/>
        </w:rPr>
        <w:t xml:space="preserve"> </w:t>
      </w:r>
      <w:r w:rsidRPr="008947D1">
        <w:rPr>
          <w:rFonts w:ascii="Bodoni MT" w:eastAsia="Calibri" w:hAnsi="Bodoni MT"/>
          <w:sz w:val="22"/>
          <w:szCs w:val="22"/>
          <w:lang w:eastAsia="en-US"/>
        </w:rPr>
        <w:t>sécuriser » la voie verte (</w:t>
      </w:r>
      <w:r w:rsidRPr="008947D1">
        <w:rPr>
          <w:rFonts w:ascii="Bodoni MT" w:eastAsia="Calibri" w:hAnsi="Bodoni MT"/>
          <w:i/>
          <w:sz w:val="22"/>
          <w:szCs w:val="22"/>
          <w:lang w:eastAsia="en-US"/>
        </w:rPr>
        <w:t>green OA</w:t>
      </w:r>
      <w:r w:rsidRPr="008947D1">
        <w:rPr>
          <w:rFonts w:ascii="Bodoni MT" w:eastAsia="Calibri" w:hAnsi="Bodoni MT"/>
          <w:sz w:val="22"/>
          <w:szCs w:val="22"/>
          <w:lang w:eastAsia="en-US"/>
        </w:rPr>
        <w:t>) du Libre accès. Le droit ne concerne que des textes parus dans des périodiques, excluant donc d’autres formes de publication, comme des actes de conférences, ou monographies en général.  </w:t>
      </w:r>
    </w:p>
    <w:p w:rsidR="008947D1" w:rsidRPr="008947D1" w:rsidRDefault="008947D1" w:rsidP="008947D1">
      <w:pPr>
        <w:spacing w:after="160" w:line="259" w:lineRule="auto"/>
        <w:jc w:val="left"/>
        <w:rPr>
          <w:rFonts w:ascii="Bodoni MT" w:eastAsia="Calibri" w:hAnsi="Bodoni MT"/>
          <w:sz w:val="22"/>
          <w:szCs w:val="22"/>
          <w:lang w:eastAsia="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 xml:space="preserve">Obligation vs. </w:t>
      </w:r>
      <w:proofErr w:type="gramStart"/>
      <w:r w:rsidR="000E72DF">
        <w:rPr>
          <w:rFonts w:ascii="Bodoni MT" w:eastAsia="Calibri" w:hAnsi="Bodoni MT"/>
          <w:b/>
          <w:sz w:val="24"/>
          <w:szCs w:val="24"/>
          <w:lang w:eastAsia="en-US"/>
        </w:rPr>
        <w:t>d</w:t>
      </w:r>
      <w:r w:rsidRPr="008947D1">
        <w:rPr>
          <w:rFonts w:ascii="Bodoni MT" w:eastAsia="Calibri" w:hAnsi="Bodoni MT"/>
          <w:b/>
          <w:sz w:val="24"/>
          <w:szCs w:val="24"/>
          <w:lang w:eastAsia="en-US"/>
        </w:rPr>
        <w:t>roit</w:t>
      </w:r>
      <w:proofErr w:type="gramEnd"/>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Il faut souligner qu’avec le droit de publication secondaire on n’est pas dans une situation d’obligation </w:t>
      </w:r>
      <w:r w:rsidRPr="008947D1">
        <w:rPr>
          <w:rFonts w:ascii="Bodoni MT" w:eastAsia="Calibri" w:hAnsi="Bodoni MT"/>
          <w:i/>
          <w:sz w:val="22"/>
          <w:szCs w:val="22"/>
          <w:lang w:eastAsia="en-US"/>
        </w:rPr>
        <w:t>(« mandate »</w:t>
      </w:r>
      <w:r w:rsidRPr="008947D1">
        <w:rPr>
          <w:rFonts w:ascii="Bodoni MT" w:eastAsia="Calibri" w:hAnsi="Bodoni MT"/>
          <w:sz w:val="22"/>
          <w:szCs w:val="22"/>
          <w:lang w:eastAsia="en-US"/>
        </w:rPr>
        <w:t>) de dépôt dans une archive ouverte, comme elle peut être exigée à différents niveaux (institutionnel, national, voire européen, comme dans le cadre du programme H</w:t>
      </w:r>
      <w:r w:rsidR="00050155">
        <w:rPr>
          <w:rFonts w:ascii="Bodoni MT" w:eastAsia="Calibri" w:hAnsi="Bodoni MT"/>
          <w:sz w:val="22"/>
          <w:szCs w:val="22"/>
          <w:lang w:eastAsia="en-US"/>
        </w:rPr>
        <w:t xml:space="preserve">orizon </w:t>
      </w:r>
      <w:r w:rsidRPr="008947D1">
        <w:rPr>
          <w:rFonts w:ascii="Bodoni MT" w:eastAsia="Calibri" w:hAnsi="Bodoni MT"/>
          <w:sz w:val="22"/>
          <w:szCs w:val="22"/>
          <w:lang w:eastAsia="en-US"/>
        </w:rPr>
        <w:t>2020) et typiquement par des agences de financement</w:t>
      </w:r>
      <w:r w:rsidRPr="008947D1">
        <w:rPr>
          <w:rFonts w:ascii="Bodoni MT" w:eastAsia="Calibri" w:hAnsi="Bodoni MT"/>
          <w:sz w:val="22"/>
          <w:szCs w:val="22"/>
          <w:vertAlign w:val="superscript"/>
          <w:lang w:eastAsia="en-US"/>
        </w:rPr>
        <w:footnoteReference w:id="2"/>
      </w:r>
      <w:r w:rsidRPr="008947D1">
        <w:rPr>
          <w:rFonts w:ascii="Bodoni MT" w:eastAsia="Calibri" w:hAnsi="Bodoni MT"/>
          <w:sz w:val="22"/>
          <w:szCs w:val="22"/>
          <w:lang w:eastAsia="en-US"/>
        </w:rPr>
        <w:t>.</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Pour la plupart des défenseurs de la « voie verte », ces </w:t>
      </w:r>
      <w:r w:rsidRPr="008947D1">
        <w:rPr>
          <w:rFonts w:ascii="Bodoni MT" w:eastAsia="Calibri" w:hAnsi="Bodoni MT"/>
          <w:i/>
          <w:sz w:val="22"/>
          <w:szCs w:val="22"/>
          <w:lang w:eastAsia="en-US"/>
        </w:rPr>
        <w:t>mandates</w:t>
      </w:r>
      <w:r w:rsidRPr="008947D1">
        <w:rPr>
          <w:rFonts w:ascii="Bodoni MT" w:eastAsia="Calibri" w:hAnsi="Bodoni MT"/>
          <w:sz w:val="22"/>
          <w:szCs w:val="22"/>
          <w:lang w:eastAsia="en-US"/>
        </w:rPr>
        <w:t xml:space="preserve"> sont indispensables pour peupler les archives et, par la même, réaliser l’objectif d’un Libre accès universel. On n’aborde pas ici le débat qui oppose ce point vue à un autre : celui que l’objectif en question pourrait davantage être réalisé en suivant la « voie dorée » (approche </w:t>
      </w:r>
      <w:r w:rsidR="00050155" w:rsidRPr="00050155">
        <w:rPr>
          <w:rFonts w:ascii="Bodoni MT" w:eastAsia="Calibri" w:hAnsi="Bodoni MT"/>
          <w:i/>
          <w:sz w:val="22"/>
          <w:szCs w:val="22"/>
          <w:lang w:eastAsia="en-US"/>
        </w:rPr>
        <w:t xml:space="preserve">gold </w:t>
      </w:r>
      <w:r w:rsidRPr="00050155">
        <w:rPr>
          <w:rFonts w:ascii="Bodoni MT" w:eastAsia="Calibri" w:hAnsi="Bodoni MT"/>
          <w:i/>
          <w:sz w:val="22"/>
          <w:szCs w:val="22"/>
          <w:lang w:eastAsia="en-US"/>
        </w:rPr>
        <w:t>OA</w:t>
      </w:r>
      <w:r w:rsidRPr="008947D1">
        <w:rPr>
          <w:rFonts w:ascii="Bodoni MT" w:eastAsia="Calibri" w:hAnsi="Bodoni MT"/>
          <w:sz w:val="22"/>
          <w:szCs w:val="22"/>
          <w:lang w:eastAsia="en-US"/>
        </w:rPr>
        <w:t>, notamment préconisé par l’initiative OA2020</w:t>
      </w:r>
      <w:r w:rsidRPr="008947D1">
        <w:rPr>
          <w:rFonts w:ascii="Bodoni MT" w:eastAsia="Calibri" w:hAnsi="Bodoni MT"/>
          <w:sz w:val="22"/>
          <w:szCs w:val="22"/>
          <w:vertAlign w:val="superscript"/>
          <w:lang w:eastAsia="en-US"/>
        </w:rPr>
        <w:footnoteReference w:id="3"/>
      </w:r>
      <w:r w:rsidRPr="008947D1">
        <w:rPr>
          <w:rFonts w:ascii="Bodoni MT" w:eastAsia="Calibri" w:hAnsi="Bodoni MT"/>
          <w:sz w:val="22"/>
          <w:szCs w:val="22"/>
          <w:lang w:eastAsia="en-US"/>
        </w:rPr>
        <w:t>).</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Les </w:t>
      </w:r>
      <w:r w:rsidRPr="008947D1">
        <w:rPr>
          <w:rFonts w:ascii="Bodoni MT" w:eastAsia="Calibri" w:hAnsi="Bodoni MT"/>
          <w:i/>
          <w:sz w:val="22"/>
          <w:szCs w:val="22"/>
          <w:lang w:eastAsia="en-US"/>
        </w:rPr>
        <w:t>mandates</w:t>
      </w:r>
      <w:r w:rsidRPr="008947D1">
        <w:rPr>
          <w:rFonts w:ascii="Bodoni MT" w:eastAsia="Calibri" w:hAnsi="Bodoni MT"/>
          <w:sz w:val="22"/>
          <w:szCs w:val="22"/>
          <w:lang w:eastAsia="en-US"/>
        </w:rPr>
        <w:t>, tels que recensés dans ROARMAP</w:t>
      </w:r>
      <w:r w:rsidRPr="008947D1">
        <w:rPr>
          <w:rFonts w:ascii="Bodoni MT" w:eastAsia="Calibri" w:hAnsi="Bodoni MT"/>
          <w:sz w:val="22"/>
          <w:szCs w:val="22"/>
          <w:vertAlign w:val="superscript"/>
          <w:lang w:eastAsia="en-US"/>
        </w:rPr>
        <w:footnoteReference w:id="4"/>
      </w:r>
      <w:r w:rsidRPr="008947D1">
        <w:rPr>
          <w:rFonts w:ascii="Bodoni MT" w:eastAsia="Calibri" w:hAnsi="Bodoni MT"/>
          <w:sz w:val="22"/>
          <w:szCs w:val="22"/>
          <w:lang w:eastAsia="en-US"/>
        </w:rPr>
        <w:t>, peinent à se généraliser, présentent des degrés de « vraie » obligation assez divers et ne trouvent que rarement l’approbation des chercheurs eux-mêmes. Les cas de législations nationales intégrant de tels aspects restent rares, leur impact semble limité.</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En Allemagne, toute forme d’obligation de dépôt de textes </w:t>
      </w:r>
      <w:r w:rsidR="00050155">
        <w:rPr>
          <w:rFonts w:ascii="Bodoni MT" w:eastAsia="Calibri" w:hAnsi="Bodoni MT"/>
          <w:sz w:val="22"/>
          <w:szCs w:val="22"/>
          <w:lang w:eastAsia="en-US"/>
        </w:rPr>
        <w:t xml:space="preserve">dans </w:t>
      </w:r>
      <w:r w:rsidRPr="008947D1">
        <w:rPr>
          <w:rFonts w:ascii="Bodoni MT" w:eastAsia="Calibri" w:hAnsi="Bodoni MT"/>
          <w:sz w:val="22"/>
          <w:szCs w:val="22"/>
          <w:lang w:eastAsia="en-US"/>
        </w:rPr>
        <w:t>une archive ouverte, et plus généralement toute influence politique exercée sur les pratiques de publication, se heurte à une certaine idée de la liberté de la science, droit fondamental garanti par la Constitution.</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Par contre, l’idée d’une sécurisation juridique des pratiques d’auto-archivage, </w:t>
      </w:r>
      <w:proofErr w:type="spellStart"/>
      <w:r w:rsidRPr="008947D1">
        <w:rPr>
          <w:rFonts w:ascii="Bodoni MT" w:eastAsia="Calibri" w:hAnsi="Bodoni MT"/>
          <w:sz w:val="22"/>
          <w:szCs w:val="22"/>
          <w:lang w:eastAsia="en-US"/>
        </w:rPr>
        <w:t>c.a.d</w:t>
      </w:r>
      <w:proofErr w:type="spellEnd"/>
      <w:r w:rsidRPr="008947D1">
        <w:rPr>
          <w:rFonts w:ascii="Bodoni MT" w:eastAsia="Calibri" w:hAnsi="Bodoni MT"/>
          <w:sz w:val="22"/>
          <w:szCs w:val="22"/>
          <w:lang w:eastAsia="en-US"/>
        </w:rPr>
        <w:t xml:space="preserve">. de la voie verte, avait </w:t>
      </w:r>
      <w:r w:rsidR="00050155">
        <w:rPr>
          <w:rFonts w:ascii="Bodoni MT" w:eastAsia="Calibri" w:hAnsi="Bodoni MT"/>
          <w:sz w:val="22"/>
          <w:szCs w:val="22"/>
          <w:lang w:eastAsia="en-US"/>
        </w:rPr>
        <w:t>fait son chemin</w:t>
      </w:r>
      <w:r w:rsidRPr="008947D1">
        <w:rPr>
          <w:rFonts w:ascii="Bodoni MT" w:eastAsia="Calibri" w:hAnsi="Bodoni MT"/>
          <w:sz w:val="22"/>
          <w:szCs w:val="22"/>
          <w:lang w:eastAsia="en-US"/>
        </w:rPr>
        <w:t xml:space="preserve"> depuis longtemps, jusqu’à ce qu’elle se concrétise en 2014 sous forme d’un droit à la publication secondaire, introduit dans la loi du droit d’auteur allemande, sur fonds de divergence de positions entre le parlement national (</w:t>
      </w:r>
      <w:r w:rsidRPr="008947D1">
        <w:rPr>
          <w:rFonts w:ascii="Bodoni MT" w:eastAsia="Calibri" w:hAnsi="Bodoni MT"/>
          <w:i/>
          <w:sz w:val="22"/>
          <w:szCs w:val="22"/>
          <w:lang w:eastAsia="en-US"/>
        </w:rPr>
        <w:t>Bundestag</w:t>
      </w:r>
      <w:r w:rsidRPr="008947D1">
        <w:rPr>
          <w:rFonts w:ascii="Bodoni MT" w:eastAsia="Calibri" w:hAnsi="Bodoni MT"/>
          <w:sz w:val="22"/>
          <w:szCs w:val="22"/>
          <w:lang w:eastAsia="en-US"/>
        </w:rPr>
        <w:t>) et la deuxième Chambre (</w:t>
      </w:r>
      <w:r w:rsidRPr="008947D1">
        <w:rPr>
          <w:rFonts w:ascii="Bodoni MT" w:eastAsia="Calibri" w:hAnsi="Bodoni MT"/>
          <w:i/>
          <w:sz w:val="22"/>
          <w:szCs w:val="22"/>
          <w:lang w:eastAsia="en-US"/>
        </w:rPr>
        <w:t>Bundesrat</w:t>
      </w:r>
      <w:r w:rsidRPr="008947D1">
        <w:rPr>
          <w:rFonts w:ascii="Bodoni MT" w:eastAsia="Calibri" w:hAnsi="Bodoni MT"/>
          <w:sz w:val="22"/>
          <w:szCs w:val="22"/>
          <w:lang w:eastAsia="en-US"/>
        </w:rPr>
        <w:t>), qui représente les Länder.</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Dans ce contexte, il convient de noter une spécificité allemande : Tandis que le droit d’auteur relève de la législation fédérale (nécessitant pas, formellement, l’accord du Bundesrat), la gestion des universités (et autres établissements d’enseignement supérieur et de recherche) est du ressort des Länder, dont chacun établit, par conséquent, sa propre loi sur les universités (</w:t>
      </w:r>
      <w:proofErr w:type="spellStart"/>
      <w:r w:rsidRPr="008947D1">
        <w:rPr>
          <w:rFonts w:ascii="Bodoni MT" w:eastAsia="Calibri" w:hAnsi="Bodoni MT"/>
          <w:i/>
          <w:sz w:val="22"/>
          <w:szCs w:val="22"/>
          <w:lang w:eastAsia="en-US"/>
        </w:rPr>
        <w:t>Hochschulgesetz</w:t>
      </w:r>
      <w:proofErr w:type="spellEnd"/>
      <w:r w:rsidRPr="008947D1">
        <w:rPr>
          <w:rFonts w:ascii="Bodoni MT" w:eastAsia="Calibri" w:hAnsi="Bodoni MT"/>
          <w:sz w:val="22"/>
          <w:szCs w:val="22"/>
          <w:lang w:eastAsia="en-US"/>
        </w:rPr>
        <w:t>)</w:t>
      </w:r>
      <w:r w:rsidRPr="008947D1">
        <w:rPr>
          <w:rFonts w:ascii="Bodoni MT" w:eastAsia="Calibri" w:hAnsi="Bodoni MT"/>
          <w:sz w:val="22"/>
          <w:szCs w:val="22"/>
          <w:vertAlign w:val="superscript"/>
          <w:lang w:eastAsia="en-US"/>
        </w:rPr>
        <w:footnoteReference w:id="5"/>
      </w:r>
      <w:r w:rsidRPr="008947D1">
        <w:rPr>
          <w:rFonts w:ascii="Bodoni MT" w:eastAsia="Calibri" w:hAnsi="Bodoni MT"/>
          <w:sz w:val="22"/>
          <w:szCs w:val="22"/>
          <w:lang w:eastAsia="en-US"/>
        </w:rPr>
        <w:t>.</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L’aspect « obligation vs. </w:t>
      </w:r>
      <w:proofErr w:type="gramStart"/>
      <w:r w:rsidRPr="008947D1">
        <w:rPr>
          <w:rFonts w:ascii="Bodoni MT" w:eastAsia="Calibri" w:hAnsi="Bodoni MT"/>
          <w:sz w:val="22"/>
          <w:szCs w:val="22"/>
          <w:lang w:eastAsia="en-US"/>
        </w:rPr>
        <w:t>droit</w:t>
      </w:r>
      <w:proofErr w:type="gramEnd"/>
      <w:r w:rsidRPr="008947D1">
        <w:rPr>
          <w:rFonts w:ascii="Bodoni MT" w:eastAsia="Calibri" w:hAnsi="Bodoni MT"/>
          <w:sz w:val="22"/>
          <w:szCs w:val="22"/>
          <w:lang w:eastAsia="en-US"/>
        </w:rPr>
        <w:t> » prend une tournure intéressante dans la loi du Land Bade-Wurtemberg. Celle-ci demande aux universités d’établir des règlements qui obligent les scientifiques d’utiliser leur droit de publication secondaire, et, à cet effet, d’assurer l’accès à des infrastructures le permettant, typiquement par la création d‘archives institutionnelles universitaires. A ce jour, seule l’Université de Constance a établi un tel règlement interne, non sans susciter des réactions critiques, notamment de la part de la Faculté de droit de l’Université. Ces réactions ne se sont néanmoins pas (encore) traduites par des plaintes ou autres démarches juridiques.</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Nous sommes donc ici dans une situation où le droit de dépôt se transforme localement en obligation de dépôt. Le spectre d’une telle évolution, d’un droit d’action vers une obligation d’action, avait d’ailleurs été brandi lors de la consultation publique sur la loi numérique en France (indépendamment d’une certaine confusion autour des deux concepts observée dans les contributions à la consultation, volontairement créée ou non).</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Un droit de publication secondaire, si on le comprend comme droit de mise en ligne sur un site personnel ou de dépôt dans une archive ouverte, est d’ailleurs accordé par la majorité des éditeurs scientifiques, sous des formes différentes (selon le type d’archive et la version de l’article) et avec des délais d’embargo variant typiquement entre 0 et 24 mois. Si ce n’est pas le cas, l’auteur peut essayer d’entrer dans une négociation avec son éditeur et demander un ajout au contrat lui permettant de conserver certains droits. Des modèles de telles clauses sont disponibles via SPARC, par exemple</w:t>
      </w:r>
      <w:r w:rsidRPr="008947D1">
        <w:rPr>
          <w:rFonts w:ascii="Bodoni MT" w:eastAsia="Calibri" w:hAnsi="Bodoni MT"/>
          <w:sz w:val="22"/>
          <w:szCs w:val="22"/>
          <w:vertAlign w:val="superscript"/>
          <w:lang w:eastAsia="en-US"/>
        </w:rPr>
        <w:footnoteReference w:id="6"/>
      </w:r>
      <w:r w:rsidRPr="008947D1">
        <w:rPr>
          <w:rFonts w:ascii="Bodoni MT" w:eastAsia="Calibri" w:hAnsi="Bodoni MT"/>
          <w:sz w:val="22"/>
          <w:szCs w:val="22"/>
          <w:lang w:eastAsia="en-US"/>
        </w:rPr>
        <w:t xml:space="preserve">.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Mais souvent le droit accordé d’office par l’éditeur est même plus avantageux pour l’auteur que celui garanti </w:t>
      </w:r>
      <w:r w:rsidR="00050155">
        <w:rPr>
          <w:rFonts w:ascii="Bodoni MT" w:eastAsia="Calibri" w:hAnsi="Bodoni MT"/>
          <w:sz w:val="22"/>
          <w:szCs w:val="22"/>
          <w:lang w:eastAsia="en-US"/>
        </w:rPr>
        <w:t xml:space="preserve">maintenant </w:t>
      </w:r>
      <w:r w:rsidRPr="008947D1">
        <w:rPr>
          <w:rFonts w:ascii="Bodoni MT" w:eastAsia="Calibri" w:hAnsi="Bodoni MT"/>
          <w:sz w:val="22"/>
          <w:szCs w:val="22"/>
          <w:lang w:eastAsia="en-US"/>
        </w:rPr>
        <w:t>par la loi. En France, par exemple, l’éditeur EDP Sciences applique une politique plus permissive que les règlements établis par la loi numérique, dans la mesure où il autorise, pour la grande majorité de ses revues, le dépôt sans embargo de la version finale (en demandant d’indiquer la référence de l’article publié et créer un lien vers la revue)</w:t>
      </w:r>
      <w:r w:rsidRPr="008947D1">
        <w:rPr>
          <w:rFonts w:ascii="Bodoni MT" w:eastAsia="Calibri" w:hAnsi="Bodoni MT"/>
          <w:sz w:val="22"/>
          <w:szCs w:val="22"/>
          <w:vertAlign w:val="superscript"/>
          <w:lang w:eastAsia="en-US"/>
        </w:rPr>
        <w:footnoteReference w:id="7"/>
      </w:r>
      <w:r w:rsidRPr="008947D1">
        <w:rPr>
          <w:rFonts w:ascii="Bodoni MT" w:eastAsia="Calibri" w:hAnsi="Bodoni MT"/>
          <w:sz w:val="22"/>
          <w:szCs w:val="22"/>
          <w:lang w:eastAsia="en-US"/>
        </w:rPr>
        <w:t>.</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En effet, il semble que 60% des articles publiés aujourd’hui pourraient être proposés sous une certaine forme d’accès libre dès leur parution si les auteurs appliquaient à la lettre les politiques des éditeurs (telles que répertoriées sur la plateforme SHERPA/</w:t>
      </w:r>
      <w:proofErr w:type="spellStart"/>
      <w:r w:rsidRPr="008947D1">
        <w:rPr>
          <w:rFonts w:ascii="Bodoni MT" w:eastAsia="Calibri" w:hAnsi="Bodoni MT"/>
          <w:sz w:val="22"/>
          <w:szCs w:val="22"/>
          <w:lang w:eastAsia="en-US"/>
        </w:rPr>
        <w:t>RoMEO</w:t>
      </w:r>
      <w:proofErr w:type="spellEnd"/>
      <w:r w:rsidRPr="008947D1">
        <w:rPr>
          <w:rFonts w:ascii="Bodoni MT" w:eastAsia="Calibri" w:hAnsi="Bodoni MT"/>
          <w:sz w:val="22"/>
          <w:szCs w:val="22"/>
          <w:vertAlign w:val="superscript"/>
          <w:lang w:eastAsia="en-US"/>
        </w:rPr>
        <w:footnoteReference w:id="8"/>
      </w:r>
      <w:r w:rsidRPr="008947D1">
        <w:rPr>
          <w:rFonts w:ascii="Bodoni MT" w:eastAsia="Calibri" w:hAnsi="Bodoni MT"/>
          <w:sz w:val="22"/>
          <w:szCs w:val="22"/>
          <w:lang w:eastAsia="en-US"/>
        </w:rPr>
        <w:t>), 80% pourraient se trouver dans une archive ouverte (institutionnelle ou thématique) au bout de 12 mois</w:t>
      </w:r>
      <w:r w:rsidR="00F7593A">
        <w:rPr>
          <w:rFonts w:ascii="Bodoni MT" w:eastAsia="Calibri" w:hAnsi="Bodoni MT"/>
          <w:sz w:val="22"/>
          <w:szCs w:val="22"/>
          <w:lang w:eastAsia="en-US"/>
        </w:rPr>
        <w:t xml:space="preserve"> (</w:t>
      </w:r>
      <w:proofErr w:type="spellStart"/>
      <w:r w:rsidR="00F7593A">
        <w:rPr>
          <w:rFonts w:ascii="Bodoni MT" w:eastAsia="Calibri" w:hAnsi="Bodoni MT"/>
          <w:sz w:val="22"/>
          <w:szCs w:val="22"/>
          <w:lang w:eastAsia="en-US"/>
        </w:rPr>
        <w:t>Laakso</w:t>
      </w:r>
      <w:proofErr w:type="spellEnd"/>
      <w:r w:rsidR="00F7593A">
        <w:rPr>
          <w:rFonts w:ascii="Bodoni MT" w:eastAsia="Calibri" w:hAnsi="Bodoni MT"/>
          <w:sz w:val="22"/>
          <w:szCs w:val="22"/>
          <w:lang w:eastAsia="en-US"/>
        </w:rPr>
        <w:t>, 2014)</w:t>
      </w:r>
      <w:r w:rsidRPr="008947D1">
        <w:rPr>
          <w:rFonts w:ascii="Bodoni MT" w:eastAsia="Calibri" w:hAnsi="Bodoni MT"/>
          <w:sz w:val="22"/>
          <w:szCs w:val="22"/>
          <w:lang w:eastAsia="en-US"/>
        </w:rPr>
        <w:t xml:space="preserve">. </w:t>
      </w:r>
      <w:r w:rsidR="001156AE">
        <w:rPr>
          <w:rFonts w:ascii="Bodoni MT" w:eastAsia="Calibri" w:hAnsi="Bodoni MT"/>
          <w:sz w:val="22"/>
          <w:szCs w:val="22"/>
          <w:lang w:eastAsia="en-US"/>
        </w:rPr>
        <w:t>Il est</w:t>
      </w:r>
      <w:r w:rsidRPr="008947D1">
        <w:rPr>
          <w:rFonts w:ascii="Bodoni MT" w:eastAsia="Calibri" w:hAnsi="Bodoni MT"/>
          <w:sz w:val="22"/>
          <w:szCs w:val="22"/>
          <w:lang w:eastAsia="en-US"/>
        </w:rPr>
        <w:t xml:space="preserve"> bien connu que le potentiel du </w:t>
      </w:r>
      <w:r w:rsidR="00050155">
        <w:rPr>
          <w:rFonts w:ascii="Bodoni MT" w:eastAsia="Calibri" w:hAnsi="Bodoni MT"/>
          <w:sz w:val="22"/>
          <w:szCs w:val="22"/>
          <w:lang w:eastAsia="en-US"/>
        </w:rPr>
        <w:t>g</w:t>
      </w:r>
      <w:r w:rsidRPr="008947D1">
        <w:rPr>
          <w:rFonts w:ascii="Bodoni MT" w:eastAsia="Calibri" w:hAnsi="Bodoni MT"/>
          <w:i/>
          <w:sz w:val="22"/>
          <w:szCs w:val="22"/>
          <w:lang w:eastAsia="en-US"/>
        </w:rPr>
        <w:t>reen OA</w:t>
      </w:r>
      <w:r w:rsidRPr="008947D1">
        <w:rPr>
          <w:rFonts w:ascii="Bodoni MT" w:eastAsia="Calibri" w:hAnsi="Bodoni MT"/>
          <w:sz w:val="22"/>
          <w:szCs w:val="22"/>
          <w:lang w:eastAsia="en-US"/>
        </w:rPr>
        <w:t xml:space="preserve"> est sous-exploité. </w:t>
      </w:r>
    </w:p>
    <w:p w:rsid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Néanmoins, les politiques des éditeurs ne sont pas gravées dans le marbre. On a fréquemment observé des changements, notamment en réaction à des décisions et réglementations « politiques »</w:t>
      </w:r>
      <w:r w:rsidR="00050155">
        <w:rPr>
          <w:rFonts w:ascii="Bodoni MT" w:eastAsia="Calibri" w:hAnsi="Bodoni MT"/>
          <w:sz w:val="22"/>
          <w:szCs w:val="22"/>
          <w:lang w:eastAsia="en-US"/>
        </w:rPr>
        <w:t xml:space="preserve">, </w:t>
      </w:r>
      <w:r w:rsidRPr="008947D1">
        <w:rPr>
          <w:rFonts w:ascii="Bodoni MT" w:eastAsia="Calibri" w:hAnsi="Bodoni MT"/>
          <w:sz w:val="22"/>
          <w:szCs w:val="22"/>
          <w:lang w:eastAsia="en-US"/>
        </w:rPr>
        <w:t xml:space="preserve">comme suite au rapport </w:t>
      </w:r>
      <w:proofErr w:type="spellStart"/>
      <w:r w:rsidRPr="008947D1">
        <w:rPr>
          <w:rFonts w:ascii="Bodoni MT" w:eastAsia="Calibri" w:hAnsi="Bodoni MT"/>
          <w:sz w:val="22"/>
          <w:szCs w:val="22"/>
          <w:lang w:eastAsia="en-US"/>
        </w:rPr>
        <w:t>Finch</w:t>
      </w:r>
      <w:proofErr w:type="spellEnd"/>
      <w:r w:rsidRPr="008947D1">
        <w:rPr>
          <w:rFonts w:ascii="Bodoni MT" w:eastAsia="Calibri" w:hAnsi="Bodoni MT"/>
          <w:sz w:val="22"/>
          <w:szCs w:val="22"/>
          <w:lang w:eastAsia="en-US"/>
        </w:rPr>
        <w:t xml:space="preserve"> au Royaume Uni</w:t>
      </w:r>
      <w:r w:rsidR="00F7593A">
        <w:rPr>
          <w:rFonts w:ascii="Bodoni MT" w:eastAsia="Calibri" w:hAnsi="Bodoni MT"/>
          <w:sz w:val="22"/>
          <w:szCs w:val="22"/>
          <w:lang w:eastAsia="en-US"/>
        </w:rPr>
        <w:t xml:space="preserve"> (</w:t>
      </w:r>
      <w:proofErr w:type="spellStart"/>
      <w:r w:rsidR="00F7593A">
        <w:rPr>
          <w:rFonts w:ascii="Bodoni MT" w:eastAsia="Calibri" w:hAnsi="Bodoni MT"/>
          <w:sz w:val="22"/>
          <w:szCs w:val="22"/>
          <w:lang w:eastAsia="en-US"/>
        </w:rPr>
        <w:t>Finch</w:t>
      </w:r>
      <w:proofErr w:type="spellEnd"/>
      <w:r w:rsidR="00F7593A">
        <w:rPr>
          <w:rFonts w:ascii="Bodoni MT" w:eastAsia="Calibri" w:hAnsi="Bodoni MT"/>
          <w:sz w:val="22"/>
          <w:szCs w:val="22"/>
          <w:lang w:eastAsia="en-US"/>
        </w:rPr>
        <w:t xml:space="preserve"> </w:t>
      </w:r>
      <w:r w:rsidR="00F7593A" w:rsidRPr="00F7593A">
        <w:rPr>
          <w:rFonts w:ascii="Bodoni MT" w:eastAsia="Calibri" w:hAnsi="Bodoni MT"/>
          <w:i/>
          <w:sz w:val="22"/>
          <w:szCs w:val="22"/>
          <w:lang w:eastAsia="en-US"/>
        </w:rPr>
        <w:t xml:space="preserve">et </w:t>
      </w:r>
      <w:proofErr w:type="gramStart"/>
      <w:r w:rsidR="00F7593A" w:rsidRPr="00F7593A">
        <w:rPr>
          <w:rFonts w:ascii="Bodoni MT" w:eastAsia="Calibri" w:hAnsi="Bodoni MT"/>
          <w:i/>
          <w:sz w:val="22"/>
          <w:szCs w:val="22"/>
          <w:lang w:eastAsia="en-US"/>
        </w:rPr>
        <w:t>al</w:t>
      </w:r>
      <w:r w:rsidR="00F7593A">
        <w:rPr>
          <w:rFonts w:ascii="Bodoni MT" w:eastAsia="Calibri" w:hAnsi="Bodoni MT"/>
          <w:sz w:val="22"/>
          <w:szCs w:val="22"/>
          <w:lang w:eastAsia="en-US"/>
        </w:rPr>
        <w:t>.,</w:t>
      </w:r>
      <w:proofErr w:type="gramEnd"/>
      <w:r w:rsidR="00F7593A">
        <w:rPr>
          <w:rFonts w:ascii="Bodoni MT" w:eastAsia="Calibri" w:hAnsi="Bodoni MT"/>
          <w:sz w:val="22"/>
          <w:szCs w:val="22"/>
          <w:lang w:eastAsia="en-US"/>
        </w:rPr>
        <w:t xml:space="preserve"> 2012</w:t>
      </w:r>
      <w:r w:rsidRPr="008947D1">
        <w:rPr>
          <w:rFonts w:ascii="Bodoni MT" w:eastAsia="Calibri" w:hAnsi="Bodoni MT"/>
          <w:sz w:val="22"/>
          <w:szCs w:val="22"/>
          <w:lang w:eastAsia="en-US"/>
        </w:rPr>
        <w:t>), et notamment à travers un allongement des délais d’embargo. L’indépendance des exigences des éditeurs représente donc un avantage majeur d’un droit comme celui de la publication secondaire.</w:t>
      </w:r>
    </w:p>
    <w:p w:rsidR="00445B61" w:rsidRPr="008947D1" w:rsidRDefault="001552FB" w:rsidP="008947D1">
      <w:pPr>
        <w:spacing w:after="160" w:line="259" w:lineRule="auto"/>
        <w:jc w:val="left"/>
        <w:rPr>
          <w:rFonts w:ascii="Bodoni MT" w:eastAsia="Calibri" w:hAnsi="Bodoni MT"/>
          <w:sz w:val="22"/>
          <w:szCs w:val="22"/>
          <w:lang w:eastAsia="en-US"/>
        </w:rPr>
      </w:pPr>
      <w:r>
        <w:rPr>
          <w:rFonts w:ascii="Bodoni MT" w:eastAsia="Calibri" w:hAnsi="Bodoni MT"/>
          <w:sz w:val="22"/>
          <w:szCs w:val="22"/>
          <w:lang w:eastAsia="en-US"/>
        </w:rPr>
        <w:t>Si on reste</w:t>
      </w:r>
      <w:r w:rsidR="00445B61">
        <w:rPr>
          <w:rFonts w:ascii="Bodoni MT" w:eastAsia="Calibri" w:hAnsi="Bodoni MT"/>
          <w:sz w:val="22"/>
          <w:szCs w:val="22"/>
          <w:lang w:eastAsia="en-US"/>
        </w:rPr>
        <w:t xml:space="preserve"> dans le contexte du Royaume Uni, il convient de mentionner une initiative actuelle</w:t>
      </w:r>
      <w:r w:rsidR="00097251">
        <w:rPr>
          <w:rFonts w:ascii="Bodoni MT" w:eastAsia="Calibri" w:hAnsi="Bodoni MT"/>
          <w:sz w:val="22"/>
          <w:szCs w:val="22"/>
          <w:lang w:eastAsia="en-US"/>
        </w:rPr>
        <w:t xml:space="preserve">, lancée par l’Imperial </w:t>
      </w:r>
      <w:proofErr w:type="spellStart"/>
      <w:r w:rsidR="00097251">
        <w:rPr>
          <w:rFonts w:ascii="Bodoni MT" w:eastAsia="Calibri" w:hAnsi="Bodoni MT"/>
          <w:sz w:val="22"/>
          <w:szCs w:val="22"/>
          <w:lang w:eastAsia="en-US"/>
        </w:rPr>
        <w:t>College</w:t>
      </w:r>
      <w:proofErr w:type="spellEnd"/>
      <w:r w:rsidR="00097251">
        <w:rPr>
          <w:rFonts w:ascii="Bodoni MT" w:eastAsia="Calibri" w:hAnsi="Bodoni MT"/>
          <w:sz w:val="22"/>
          <w:szCs w:val="22"/>
          <w:lang w:eastAsia="en-US"/>
        </w:rPr>
        <w:t xml:space="preserve"> de Londres, </w:t>
      </w:r>
      <w:r w:rsidR="00E26A03">
        <w:rPr>
          <w:rFonts w:ascii="Bodoni MT" w:eastAsia="Calibri" w:hAnsi="Bodoni MT"/>
          <w:sz w:val="22"/>
          <w:szCs w:val="22"/>
          <w:lang w:eastAsia="en-US"/>
        </w:rPr>
        <w:t xml:space="preserve">qui vise cette indépendance par une autre approche, s’appuyant sur une autre base juridique : la mise en place d’une « UK </w:t>
      </w:r>
      <w:proofErr w:type="spellStart"/>
      <w:r w:rsidR="00E26A03">
        <w:rPr>
          <w:rFonts w:ascii="Bodoni MT" w:eastAsia="Calibri" w:hAnsi="Bodoni MT"/>
          <w:sz w:val="22"/>
          <w:szCs w:val="22"/>
          <w:lang w:eastAsia="en-US"/>
        </w:rPr>
        <w:t>Scholarly</w:t>
      </w:r>
      <w:proofErr w:type="spellEnd"/>
      <w:r w:rsidR="00E26A03">
        <w:rPr>
          <w:rFonts w:ascii="Bodoni MT" w:eastAsia="Calibri" w:hAnsi="Bodoni MT"/>
          <w:sz w:val="22"/>
          <w:szCs w:val="22"/>
          <w:lang w:eastAsia="en-US"/>
        </w:rPr>
        <w:t xml:space="preserve"> Communications Licence and Model Policy (UK-SCL) »</w:t>
      </w:r>
      <w:r w:rsidR="00017992">
        <w:rPr>
          <w:rFonts w:ascii="Bodoni MT" w:eastAsia="Calibri" w:hAnsi="Bodoni MT"/>
          <w:sz w:val="22"/>
          <w:szCs w:val="22"/>
          <w:lang w:eastAsia="en-US"/>
        </w:rPr>
        <w:t xml:space="preserve"> (Banks, 2016). Il s’agit d’une licence locale</w:t>
      </w:r>
      <w:r w:rsidR="00097251">
        <w:rPr>
          <w:rFonts w:ascii="Bodoni MT" w:eastAsia="Calibri" w:hAnsi="Bodoni MT"/>
          <w:sz w:val="22"/>
          <w:szCs w:val="22"/>
          <w:lang w:eastAsia="en-US"/>
        </w:rPr>
        <w:t xml:space="preserve"> non-exclusive</w:t>
      </w:r>
      <w:r w:rsidR="00017992">
        <w:rPr>
          <w:rFonts w:ascii="Bodoni MT" w:eastAsia="Calibri" w:hAnsi="Bodoni MT"/>
          <w:sz w:val="22"/>
          <w:szCs w:val="22"/>
          <w:lang w:eastAsia="en-US"/>
        </w:rPr>
        <w:t xml:space="preserve">, accordée par l’auteur d’un article à son </w:t>
      </w:r>
      <w:r w:rsidR="00284A12">
        <w:rPr>
          <w:rFonts w:ascii="Bodoni MT" w:eastAsia="Calibri" w:hAnsi="Bodoni MT"/>
          <w:sz w:val="22"/>
          <w:szCs w:val="22"/>
          <w:lang w:eastAsia="en-US"/>
        </w:rPr>
        <w:t>établissement</w:t>
      </w:r>
      <w:r w:rsidR="00097251">
        <w:rPr>
          <w:rFonts w:ascii="Bodoni MT" w:eastAsia="Calibri" w:hAnsi="Bodoni MT"/>
          <w:sz w:val="22"/>
          <w:szCs w:val="22"/>
          <w:lang w:eastAsia="en-US"/>
        </w:rPr>
        <w:t xml:space="preserve"> et</w:t>
      </w:r>
      <w:r w:rsidR="00017992">
        <w:rPr>
          <w:rFonts w:ascii="Bodoni MT" w:eastAsia="Calibri" w:hAnsi="Bodoni MT"/>
          <w:sz w:val="22"/>
          <w:szCs w:val="22"/>
          <w:lang w:eastAsia="en-US"/>
        </w:rPr>
        <w:t xml:space="preserve"> introduite de façon systématique </w:t>
      </w:r>
      <w:r w:rsidR="00337DCB">
        <w:rPr>
          <w:rFonts w:ascii="Bodoni MT" w:eastAsia="Calibri" w:hAnsi="Bodoni MT"/>
          <w:sz w:val="22"/>
          <w:szCs w:val="22"/>
          <w:lang w:eastAsia="en-US"/>
        </w:rPr>
        <w:t>sous forme d’une politique institutionnelle</w:t>
      </w:r>
      <w:r w:rsidR="00097251">
        <w:rPr>
          <w:rFonts w:ascii="Bodoni MT" w:eastAsia="Calibri" w:hAnsi="Bodoni MT"/>
          <w:sz w:val="22"/>
          <w:szCs w:val="22"/>
          <w:lang w:eastAsia="en-US"/>
        </w:rPr>
        <w:t>, dans le cadre du droit de la fonction publique britannique. Ce dispositif doit permettre la mise à disposition publique par l’</w:t>
      </w:r>
      <w:r w:rsidR="00284A12">
        <w:rPr>
          <w:rFonts w:ascii="Bodoni MT" w:eastAsia="Calibri" w:hAnsi="Bodoni MT"/>
          <w:sz w:val="22"/>
          <w:szCs w:val="22"/>
          <w:lang w:eastAsia="en-US"/>
        </w:rPr>
        <w:t>institution</w:t>
      </w:r>
      <w:r w:rsidR="00097251">
        <w:rPr>
          <w:rFonts w:ascii="Bodoni MT" w:eastAsia="Calibri" w:hAnsi="Bodoni MT"/>
          <w:sz w:val="22"/>
          <w:szCs w:val="22"/>
          <w:lang w:eastAsia="en-US"/>
        </w:rPr>
        <w:t xml:space="preserve"> de la version acceptée du manuscrit, sous licence CC-BY</w:t>
      </w:r>
      <w:r w:rsidR="00284A12">
        <w:rPr>
          <w:rFonts w:ascii="Bodoni MT" w:eastAsia="Calibri" w:hAnsi="Bodoni MT"/>
          <w:sz w:val="22"/>
          <w:szCs w:val="22"/>
          <w:lang w:eastAsia="en-US"/>
        </w:rPr>
        <w:t>-</w:t>
      </w:r>
      <w:r w:rsidR="00097251">
        <w:rPr>
          <w:rFonts w:ascii="Bodoni MT" w:eastAsia="Calibri" w:hAnsi="Bodoni MT"/>
          <w:sz w:val="22"/>
          <w:szCs w:val="22"/>
          <w:lang w:eastAsia="en-US"/>
        </w:rPr>
        <w:t xml:space="preserve">NC. </w:t>
      </w:r>
      <w:r w:rsidR="00842260">
        <w:rPr>
          <w:rFonts w:ascii="Bodoni MT" w:eastAsia="Calibri" w:hAnsi="Bodoni MT"/>
          <w:sz w:val="22"/>
          <w:szCs w:val="22"/>
          <w:lang w:eastAsia="en-US"/>
        </w:rPr>
        <w:t xml:space="preserve">La démarche n’est pas orientée contre les éditeurs, elle veut tenir compte des intérêts de tous les acteurs, mais permettre avant tout aux chercheurs de se </w:t>
      </w:r>
      <w:r w:rsidR="00284A12">
        <w:rPr>
          <w:rFonts w:ascii="Bodoni MT" w:eastAsia="Calibri" w:hAnsi="Bodoni MT"/>
          <w:sz w:val="22"/>
          <w:szCs w:val="22"/>
          <w:lang w:eastAsia="en-US"/>
        </w:rPr>
        <w:t>trouver</w:t>
      </w:r>
      <w:r w:rsidR="00842260">
        <w:rPr>
          <w:rFonts w:ascii="Bodoni MT" w:eastAsia="Calibri" w:hAnsi="Bodoni MT"/>
          <w:sz w:val="22"/>
          <w:szCs w:val="22"/>
          <w:lang w:eastAsia="en-US"/>
        </w:rPr>
        <w:t xml:space="preserve"> en conformité avec les exigences des agences de financement britanniques. </w:t>
      </w:r>
      <w:r w:rsidR="00337DCB">
        <w:rPr>
          <w:rFonts w:ascii="Bodoni MT" w:eastAsia="Calibri" w:hAnsi="Bodoni MT"/>
          <w:sz w:val="22"/>
          <w:szCs w:val="22"/>
          <w:lang w:eastAsia="en-US"/>
        </w:rPr>
        <w:t>Une dérogation (</w:t>
      </w:r>
      <w:proofErr w:type="spellStart"/>
      <w:r w:rsidR="00337DCB" w:rsidRPr="00337DCB">
        <w:rPr>
          <w:rFonts w:ascii="Bodoni MT" w:eastAsia="Calibri" w:hAnsi="Bodoni MT"/>
          <w:i/>
          <w:sz w:val="22"/>
          <w:szCs w:val="22"/>
          <w:lang w:eastAsia="en-US"/>
        </w:rPr>
        <w:t>waiver</w:t>
      </w:r>
      <w:proofErr w:type="spellEnd"/>
      <w:r w:rsidR="00337DCB">
        <w:rPr>
          <w:rFonts w:ascii="Bodoni MT" w:eastAsia="Calibri" w:hAnsi="Bodoni MT"/>
          <w:sz w:val="22"/>
          <w:szCs w:val="22"/>
          <w:lang w:eastAsia="en-US"/>
        </w:rPr>
        <w:t>) de l’application de la licence reste possible.</w:t>
      </w:r>
      <w:r w:rsidR="00445B61">
        <w:rPr>
          <w:rFonts w:ascii="Bodoni MT" w:eastAsia="Calibri" w:hAnsi="Bodoni MT"/>
          <w:sz w:val="22"/>
          <w:szCs w:val="22"/>
          <w:lang w:eastAsia="en-US"/>
        </w:rPr>
        <w:t xml:space="preserve"> </w:t>
      </w:r>
    </w:p>
    <w:p w:rsidR="008947D1" w:rsidRPr="008947D1" w:rsidRDefault="008947D1" w:rsidP="008947D1">
      <w:pPr>
        <w:spacing w:after="160" w:line="259" w:lineRule="auto"/>
        <w:jc w:val="left"/>
        <w:rPr>
          <w:rFonts w:ascii="Bodoni MT" w:eastAsia="Calibri" w:hAnsi="Bodoni MT"/>
          <w:sz w:val="22"/>
          <w:szCs w:val="22"/>
          <w:lang w:eastAsia="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Modèle allemand suivi par d’autres pays – comparaisons</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A défaut de pouvoir installer une obligation légale en matière de libre accès – car considérée comme incompatible avec la Constitution – les Allemands ont été les premiers, en 2013 (avec entrée en vigueur au 1</w:t>
      </w:r>
      <w:r w:rsidRPr="008947D1">
        <w:rPr>
          <w:rFonts w:ascii="Bodoni MT" w:eastAsia="Calibri" w:hAnsi="Bodoni MT"/>
          <w:sz w:val="22"/>
          <w:szCs w:val="22"/>
          <w:vertAlign w:val="superscript"/>
          <w:lang w:eastAsia="en-US"/>
        </w:rPr>
        <w:t>er</w:t>
      </w:r>
      <w:r w:rsidRPr="008947D1">
        <w:rPr>
          <w:rFonts w:ascii="Bodoni MT" w:eastAsia="Calibri" w:hAnsi="Bodoni MT"/>
          <w:sz w:val="22"/>
          <w:szCs w:val="22"/>
          <w:lang w:eastAsia="en-US"/>
        </w:rPr>
        <w:t xml:space="preserve"> janvier 2014), à introduire la publication secondaire (initialement appelé</w:t>
      </w:r>
      <w:r w:rsidR="000E72DF">
        <w:rPr>
          <w:rFonts w:ascii="Bodoni MT" w:eastAsia="Calibri" w:hAnsi="Bodoni MT"/>
          <w:sz w:val="22"/>
          <w:szCs w:val="22"/>
          <w:lang w:eastAsia="en-US"/>
        </w:rPr>
        <w:t>e</w:t>
      </w:r>
      <w:r w:rsidRPr="008947D1">
        <w:rPr>
          <w:rFonts w:ascii="Bodoni MT" w:eastAsia="Calibri" w:hAnsi="Bodoni MT"/>
          <w:sz w:val="22"/>
          <w:szCs w:val="22"/>
          <w:lang w:eastAsia="en-US"/>
        </w:rPr>
        <w:t xml:space="preserve"> «</w:t>
      </w:r>
      <w:r w:rsidR="00BA5350">
        <w:rPr>
          <w:rFonts w:ascii="Bodoni MT" w:eastAsia="Calibri" w:hAnsi="Bodoni MT"/>
          <w:sz w:val="22"/>
          <w:szCs w:val="22"/>
          <w:lang w:eastAsia="en-US"/>
        </w:rPr>
        <w:t xml:space="preserve"> </w:t>
      </w:r>
      <w:r w:rsidRPr="008947D1">
        <w:rPr>
          <w:rFonts w:ascii="Bodoni MT" w:eastAsia="Calibri" w:hAnsi="Bodoni MT"/>
          <w:sz w:val="22"/>
          <w:szCs w:val="22"/>
          <w:lang w:eastAsia="en-US"/>
        </w:rPr>
        <w:t xml:space="preserve">exploitation secondaire ») dans la loi sur le droit d’auteur. D’autres pays </w:t>
      </w:r>
      <w:r w:rsidR="00050155">
        <w:rPr>
          <w:rFonts w:ascii="Bodoni MT" w:eastAsia="Calibri" w:hAnsi="Bodoni MT"/>
          <w:sz w:val="22"/>
          <w:szCs w:val="22"/>
          <w:lang w:eastAsia="en-US"/>
        </w:rPr>
        <w:t xml:space="preserve">ont </w:t>
      </w:r>
      <w:r w:rsidRPr="008947D1">
        <w:rPr>
          <w:rFonts w:ascii="Bodoni MT" w:eastAsia="Calibri" w:hAnsi="Bodoni MT"/>
          <w:sz w:val="22"/>
          <w:szCs w:val="22"/>
          <w:lang w:eastAsia="en-US"/>
        </w:rPr>
        <w:t xml:space="preserve">suivi cet exemple : l’Autriche, les Pays Bas, et finalement la France, dans le cadre de son </w:t>
      </w:r>
      <w:r w:rsidR="00050155">
        <w:rPr>
          <w:rFonts w:ascii="Bodoni MT" w:eastAsia="Calibri" w:hAnsi="Bodoni MT"/>
          <w:sz w:val="22"/>
          <w:szCs w:val="22"/>
          <w:lang w:eastAsia="en-US"/>
        </w:rPr>
        <w:t>pr</w:t>
      </w:r>
      <w:r w:rsidRPr="008947D1">
        <w:rPr>
          <w:rFonts w:ascii="Bodoni MT" w:eastAsia="Calibri" w:hAnsi="Bodoni MT"/>
          <w:sz w:val="22"/>
          <w:szCs w:val="22"/>
          <w:lang w:eastAsia="en-US"/>
        </w:rPr>
        <w:t xml:space="preserve">ojet pour une loi numérique. En plus, dans certains autres pays (Suisse, Pologne,…) les discussions sur un tel droit sont bien avancées. </w:t>
      </w:r>
    </w:p>
    <w:p w:rsidR="008947D1" w:rsidRPr="008947D1" w:rsidRDefault="008947D1" w:rsidP="008947D1">
      <w:pPr>
        <w:spacing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Le dispositif allemand a servi comme modèle aux autres. Dans la « Stratégie numérique du Gouvernement » </w:t>
      </w:r>
      <w:r w:rsidR="0009601C">
        <w:rPr>
          <w:rFonts w:ascii="Bodoni MT" w:eastAsia="Calibri" w:hAnsi="Bodoni MT"/>
          <w:sz w:val="22"/>
          <w:szCs w:val="22"/>
          <w:lang w:eastAsia="en-US"/>
        </w:rPr>
        <w:t xml:space="preserve">française, </w:t>
      </w:r>
      <w:r w:rsidRPr="008947D1">
        <w:rPr>
          <w:rFonts w:ascii="Bodoni MT" w:eastAsia="Calibri" w:hAnsi="Bodoni MT"/>
          <w:sz w:val="22"/>
          <w:szCs w:val="22"/>
          <w:lang w:eastAsia="en-US"/>
        </w:rPr>
        <w:t>annoncée par le Premier Ministre en juin 2015 et composée de 14 mesures, on peut lire (dans le contexte de la mesure « Favoriser une science ouverte par la libre diffusion des publications et des données de la recherche ») :</w:t>
      </w:r>
    </w:p>
    <w:p w:rsid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 « Tout chercheur qui le souhaite doit pouvoir, comme c’est le cas en Allemagne, rendre librement accessibles ses articles scientifiques, au terme d’une durée raisonnable après publication, en tenant compte des différences entre sciences exactes et sciences humaines. » </w:t>
      </w:r>
    </w:p>
    <w:p w:rsidR="00923463" w:rsidRDefault="001A21DC" w:rsidP="00923463">
      <w:pPr>
        <w:spacing w:after="160" w:line="259" w:lineRule="auto"/>
        <w:jc w:val="left"/>
        <w:rPr>
          <w:rFonts w:ascii="Bodoni MT" w:eastAsia="Calibri" w:hAnsi="Bodoni MT"/>
          <w:sz w:val="22"/>
          <w:szCs w:val="22"/>
          <w:lang w:eastAsia="en-US"/>
        </w:rPr>
      </w:pPr>
      <w:r w:rsidRPr="001A21DC">
        <w:rPr>
          <w:rFonts w:ascii="Bodoni MT" w:eastAsia="Calibri" w:hAnsi="Bodoni MT"/>
          <w:sz w:val="22"/>
          <w:szCs w:val="22"/>
          <w:lang w:eastAsia="en-US"/>
        </w:rPr>
        <w:t>Le droit voté en Autriche en 2015</w:t>
      </w:r>
      <w:r w:rsidR="00923463">
        <w:rPr>
          <w:rStyle w:val="Appelnotedebasdep"/>
          <w:rFonts w:ascii="Bodoni MT" w:eastAsia="Calibri" w:hAnsi="Bodoni MT"/>
          <w:sz w:val="22"/>
          <w:szCs w:val="22"/>
          <w:lang w:eastAsia="en-US"/>
        </w:rPr>
        <w:footnoteReference w:id="9"/>
      </w:r>
      <w:r w:rsidRPr="001A21DC">
        <w:rPr>
          <w:rFonts w:ascii="Bodoni MT" w:eastAsia="Calibri" w:hAnsi="Bodoni MT"/>
          <w:sz w:val="22"/>
          <w:szCs w:val="22"/>
          <w:lang w:eastAsia="en-US"/>
        </w:rPr>
        <w:t xml:space="preserve"> est très proche du texte allemand, à une nuance près, à première vue. Mais cette nuance s’avère être une différence essentielle, et elle pointe sur une particularité souvent considérée comme discriminatoire dans la loi allemande : en Autriche, le critère principal  d’application est l’appartenance à une institution (de recherche, financée au moins à moitié par des fonds publics), tandis qu’en Allemagne c’est le type de la recherche, à l’origine de la publication, qui entre en jeu.</w:t>
      </w:r>
    </w:p>
    <w:p w:rsidR="00923463" w:rsidRDefault="001A21DC" w:rsidP="00923463">
      <w:pPr>
        <w:spacing w:after="160" w:line="259" w:lineRule="auto"/>
        <w:jc w:val="left"/>
        <w:rPr>
          <w:rFonts w:ascii="Bodoni MT" w:eastAsia="Calibri" w:hAnsi="Bodoni MT"/>
          <w:sz w:val="22"/>
          <w:szCs w:val="22"/>
          <w:lang w:eastAsia="en-US"/>
        </w:rPr>
      </w:pPr>
      <w:r w:rsidRPr="001A21DC">
        <w:rPr>
          <w:rFonts w:ascii="Bodoni MT" w:eastAsia="Calibri" w:hAnsi="Bodoni MT"/>
          <w:sz w:val="22"/>
          <w:szCs w:val="22"/>
          <w:lang w:eastAsia="en-US"/>
        </w:rPr>
        <w:t xml:space="preserve">Sans rentrer dans les détails, </w:t>
      </w:r>
      <w:r w:rsidR="00923463">
        <w:rPr>
          <w:rFonts w:ascii="Bodoni MT" w:eastAsia="Calibri" w:hAnsi="Bodoni MT"/>
          <w:sz w:val="22"/>
          <w:szCs w:val="22"/>
          <w:lang w:eastAsia="en-US"/>
        </w:rPr>
        <w:t xml:space="preserve">des motifs politiques, </w:t>
      </w:r>
      <w:r w:rsidRPr="001A21DC">
        <w:rPr>
          <w:rFonts w:ascii="Bodoni MT" w:eastAsia="Calibri" w:hAnsi="Bodoni MT"/>
          <w:sz w:val="22"/>
          <w:szCs w:val="22"/>
          <w:lang w:eastAsia="en-US"/>
        </w:rPr>
        <w:t xml:space="preserve">considérations juridiques et tentatives de remédier à la situation actuelle (voir </w:t>
      </w:r>
      <w:r w:rsidR="00F7593A">
        <w:rPr>
          <w:rFonts w:ascii="Bodoni MT" w:eastAsia="Calibri" w:hAnsi="Bodoni MT"/>
          <w:sz w:val="22"/>
          <w:szCs w:val="22"/>
          <w:lang w:eastAsia="en-US"/>
        </w:rPr>
        <w:t xml:space="preserve">Bruch et </w:t>
      </w:r>
      <w:proofErr w:type="spellStart"/>
      <w:r w:rsidR="00F7593A">
        <w:rPr>
          <w:rFonts w:ascii="Bodoni MT" w:eastAsia="Calibri" w:hAnsi="Bodoni MT"/>
          <w:sz w:val="22"/>
          <w:szCs w:val="22"/>
          <w:lang w:eastAsia="en-US"/>
        </w:rPr>
        <w:t>Pflüger</w:t>
      </w:r>
      <w:proofErr w:type="spellEnd"/>
      <w:r w:rsidR="00F7593A">
        <w:rPr>
          <w:rFonts w:ascii="Bodoni MT" w:eastAsia="Calibri" w:hAnsi="Bodoni MT"/>
          <w:sz w:val="22"/>
          <w:szCs w:val="22"/>
          <w:lang w:eastAsia="en-US"/>
        </w:rPr>
        <w:t xml:space="preserve"> (2014)</w:t>
      </w:r>
      <w:r w:rsidRPr="001A21DC">
        <w:rPr>
          <w:rFonts w:ascii="Bodoni MT" w:eastAsia="Calibri" w:hAnsi="Bodoni MT"/>
          <w:sz w:val="22"/>
          <w:szCs w:val="22"/>
          <w:lang w:eastAsia="en-US"/>
        </w:rPr>
        <w:t xml:space="preserve">, </w:t>
      </w:r>
      <w:r w:rsidR="00F7593A">
        <w:rPr>
          <w:rFonts w:ascii="Bodoni MT" w:eastAsia="Calibri" w:hAnsi="Bodoni MT"/>
          <w:sz w:val="22"/>
          <w:szCs w:val="22"/>
          <w:lang w:eastAsia="en-US"/>
        </w:rPr>
        <w:t>Bruch (2016),</w:t>
      </w:r>
      <w:r w:rsidRPr="001A21DC">
        <w:rPr>
          <w:rFonts w:ascii="Bodoni MT" w:eastAsia="Calibri" w:hAnsi="Bodoni MT"/>
          <w:sz w:val="22"/>
          <w:szCs w:val="22"/>
          <w:lang w:eastAsia="en-US"/>
        </w:rPr>
        <w:t xml:space="preserve"> et aussi les FAQ </w:t>
      </w:r>
      <w:r>
        <w:rPr>
          <w:rFonts w:ascii="Bodoni MT" w:eastAsia="Calibri" w:hAnsi="Bodoni MT"/>
          <w:sz w:val="22"/>
          <w:szCs w:val="22"/>
          <w:lang w:eastAsia="en-US"/>
        </w:rPr>
        <w:t>mises à disposition en ligne sur le droit allemand</w:t>
      </w:r>
      <w:r w:rsidRPr="001A21DC">
        <w:rPr>
          <w:rFonts w:ascii="Bodoni MT" w:eastAsia="Calibri" w:hAnsi="Bodoni MT"/>
          <w:sz w:val="22"/>
          <w:szCs w:val="22"/>
          <w:vertAlign w:val="superscript"/>
          <w:lang w:eastAsia="en-US"/>
        </w:rPr>
        <w:footnoteReference w:id="10"/>
      </w:r>
      <w:r w:rsidRPr="001A21DC">
        <w:rPr>
          <w:rFonts w:ascii="Bodoni MT" w:eastAsia="Calibri" w:hAnsi="Bodoni MT"/>
          <w:sz w:val="22"/>
          <w:szCs w:val="22"/>
          <w:lang w:eastAsia="en-US"/>
        </w:rPr>
        <w:t xml:space="preserve">), on peut dire que la recherche « normale » qui se fait tous les jours dans les universités allemandes est exclue du droit de publication secondaire. </w:t>
      </w:r>
      <w:r w:rsidR="00923463">
        <w:rPr>
          <w:rFonts w:ascii="Bodoni MT" w:eastAsia="Calibri" w:hAnsi="Bodoni MT"/>
          <w:sz w:val="22"/>
          <w:szCs w:val="22"/>
          <w:lang w:eastAsia="en-US"/>
        </w:rPr>
        <w:t xml:space="preserve">Celui-ci </w:t>
      </w:r>
      <w:r w:rsidRPr="001A21DC">
        <w:rPr>
          <w:rFonts w:ascii="Bodoni MT" w:eastAsia="Calibri" w:hAnsi="Bodoni MT"/>
          <w:sz w:val="22"/>
          <w:szCs w:val="22"/>
          <w:lang w:eastAsia="en-US"/>
        </w:rPr>
        <w:t xml:space="preserve">s’applique uniquement </w:t>
      </w:r>
      <w:r w:rsidR="00923463">
        <w:rPr>
          <w:rFonts w:ascii="Bodoni MT" w:eastAsia="Calibri" w:hAnsi="Bodoni MT"/>
          <w:sz w:val="22"/>
          <w:szCs w:val="22"/>
          <w:lang w:eastAsia="en-US"/>
        </w:rPr>
        <w:t xml:space="preserve">aux </w:t>
      </w:r>
      <w:r w:rsidR="00923463" w:rsidRPr="00923463">
        <w:rPr>
          <w:rFonts w:ascii="Bodoni MT" w:eastAsia="Calibri" w:hAnsi="Bodoni MT"/>
          <w:sz w:val="22"/>
          <w:szCs w:val="22"/>
          <w:lang w:eastAsia="en-US"/>
        </w:rPr>
        <w:t>activités de recherche pratiquées au sein d’institutions non</w:t>
      </w:r>
      <w:r w:rsidR="000108CE">
        <w:rPr>
          <w:rFonts w:ascii="Bodoni MT" w:eastAsia="Calibri" w:hAnsi="Bodoni MT"/>
          <w:sz w:val="22"/>
          <w:szCs w:val="22"/>
          <w:lang w:eastAsia="en-US"/>
        </w:rPr>
        <w:t>-</w:t>
      </w:r>
      <w:r w:rsidR="00923463" w:rsidRPr="00923463">
        <w:rPr>
          <w:rFonts w:ascii="Bodoni MT" w:eastAsia="Calibri" w:hAnsi="Bodoni MT"/>
          <w:sz w:val="22"/>
          <w:szCs w:val="22"/>
          <w:lang w:eastAsia="en-US"/>
        </w:rPr>
        <w:t xml:space="preserve">universitaires et </w:t>
      </w:r>
      <w:r w:rsidR="00923463">
        <w:rPr>
          <w:rFonts w:ascii="Bodoni MT" w:eastAsia="Calibri" w:hAnsi="Bodoni MT"/>
          <w:sz w:val="22"/>
          <w:szCs w:val="22"/>
          <w:lang w:eastAsia="en-US"/>
        </w:rPr>
        <w:t xml:space="preserve">à </w:t>
      </w:r>
      <w:r w:rsidR="00923463" w:rsidRPr="00923463">
        <w:rPr>
          <w:rFonts w:ascii="Bodoni MT" w:eastAsia="Calibri" w:hAnsi="Bodoni MT"/>
          <w:sz w:val="22"/>
          <w:szCs w:val="22"/>
          <w:lang w:eastAsia="en-US"/>
        </w:rPr>
        <w:t>celles bénéficiant d’un financement sur projet. La situation est problématique, et source de litiges, du fait que cette définition est contenue non pas dans le texte de loi lui-même, mais dans les notes</w:t>
      </w:r>
      <w:r w:rsidR="00BB7511">
        <w:rPr>
          <w:rFonts w:ascii="Bodoni MT" w:eastAsia="Calibri" w:hAnsi="Bodoni MT"/>
          <w:sz w:val="22"/>
          <w:szCs w:val="22"/>
          <w:lang w:eastAsia="en-US"/>
        </w:rPr>
        <w:t xml:space="preserve"> </w:t>
      </w:r>
      <w:r w:rsidR="00923463" w:rsidRPr="00923463">
        <w:rPr>
          <w:rFonts w:ascii="Bodoni MT" w:eastAsia="Calibri" w:hAnsi="Bodoni MT"/>
          <w:sz w:val="22"/>
          <w:szCs w:val="22"/>
          <w:lang w:eastAsia="en-US"/>
        </w:rPr>
        <w:t>explicatives associées au texte</w:t>
      </w:r>
      <w:r w:rsidR="00923463">
        <w:rPr>
          <w:rFonts w:ascii="Bodoni MT" w:eastAsia="Calibri" w:hAnsi="Bodoni MT"/>
          <w:sz w:val="22"/>
          <w:szCs w:val="22"/>
          <w:lang w:eastAsia="en-US"/>
        </w:rPr>
        <w:t>.</w:t>
      </w:r>
    </w:p>
    <w:p w:rsidR="004E2D70" w:rsidRDefault="00BB7511" w:rsidP="00FD562D">
      <w:pPr>
        <w:spacing w:line="259" w:lineRule="auto"/>
        <w:jc w:val="left"/>
        <w:rPr>
          <w:rFonts w:ascii="Bodoni MT" w:eastAsia="Calibri" w:hAnsi="Bodoni MT"/>
          <w:sz w:val="22"/>
          <w:szCs w:val="22"/>
          <w:lang w:eastAsia="en-US"/>
        </w:rPr>
      </w:pPr>
      <w:r>
        <w:rPr>
          <w:rFonts w:ascii="Bodoni MT" w:eastAsia="Calibri" w:hAnsi="Bodoni MT"/>
          <w:sz w:val="22"/>
          <w:szCs w:val="22"/>
          <w:lang w:eastAsia="en-US"/>
        </w:rPr>
        <w:t>En Suisse, les d</w:t>
      </w:r>
      <w:r w:rsidR="00D93F29">
        <w:rPr>
          <w:rFonts w:ascii="Bodoni MT" w:eastAsia="Calibri" w:hAnsi="Bodoni MT"/>
          <w:sz w:val="22"/>
          <w:szCs w:val="22"/>
          <w:lang w:eastAsia="en-US"/>
        </w:rPr>
        <w:t>ébats</w:t>
      </w:r>
      <w:r>
        <w:rPr>
          <w:rFonts w:ascii="Bodoni MT" w:eastAsia="Calibri" w:hAnsi="Bodoni MT"/>
          <w:sz w:val="22"/>
          <w:szCs w:val="22"/>
          <w:lang w:eastAsia="en-US"/>
        </w:rPr>
        <w:t xml:space="preserve"> sur l’introduction d’un « droit impératif de deuxième publication », à l’occasion </w:t>
      </w:r>
      <w:r w:rsidR="00D93F29">
        <w:rPr>
          <w:rFonts w:ascii="Bodoni MT" w:eastAsia="Calibri" w:hAnsi="Bodoni MT"/>
          <w:sz w:val="22"/>
          <w:szCs w:val="22"/>
          <w:lang w:eastAsia="en-US"/>
        </w:rPr>
        <w:t xml:space="preserve">de la prochaine révision partielle de la loi sur le droit d’auteur, sont toujours en cours. Les prises de position en faveur d’une telle disposition légale sont nombreuses, avec la particularité qu’elles ont été précédées par des échanges intenses sur la forme et la place </w:t>
      </w:r>
      <w:r w:rsidR="004E2D70">
        <w:rPr>
          <w:rFonts w:ascii="Bodoni MT" w:eastAsia="Calibri" w:hAnsi="Bodoni MT"/>
          <w:sz w:val="22"/>
          <w:szCs w:val="22"/>
          <w:lang w:eastAsia="en-US"/>
        </w:rPr>
        <w:t>à réserver à cette disposition</w:t>
      </w:r>
      <w:r w:rsidR="00846431">
        <w:rPr>
          <w:rFonts w:ascii="Bodoni MT" w:eastAsia="Calibri" w:hAnsi="Bodoni MT"/>
          <w:sz w:val="22"/>
          <w:szCs w:val="22"/>
          <w:lang w:eastAsia="en-US"/>
        </w:rPr>
        <w:t xml:space="preserve"> – intégration directe dans le droit d’auteur on non</w:t>
      </w:r>
      <w:r w:rsidR="00BA4CE7">
        <w:rPr>
          <w:rFonts w:ascii="Bodoni MT" w:eastAsia="Calibri" w:hAnsi="Bodoni MT"/>
          <w:sz w:val="22"/>
          <w:szCs w:val="22"/>
          <w:lang w:eastAsia="en-US"/>
        </w:rPr>
        <w:t> ?</w:t>
      </w:r>
      <w:r w:rsidR="00FD562D">
        <w:rPr>
          <w:rFonts w:ascii="Bodoni MT" w:eastAsia="Calibri" w:hAnsi="Bodoni MT"/>
          <w:sz w:val="22"/>
          <w:szCs w:val="22"/>
          <w:lang w:eastAsia="en-US"/>
        </w:rPr>
        <w:t xml:space="preserve"> (Kaufmann, 2015)</w:t>
      </w:r>
      <w:r w:rsidR="00D93F29">
        <w:rPr>
          <w:rFonts w:ascii="Bodoni MT" w:eastAsia="Calibri" w:hAnsi="Bodoni MT"/>
          <w:sz w:val="22"/>
          <w:szCs w:val="22"/>
          <w:lang w:eastAsia="en-US"/>
        </w:rPr>
        <w:t> </w:t>
      </w:r>
      <w:r w:rsidR="00846431">
        <w:rPr>
          <w:rFonts w:ascii="Bodoni MT" w:eastAsia="Calibri" w:hAnsi="Bodoni MT"/>
          <w:sz w:val="22"/>
          <w:szCs w:val="22"/>
          <w:lang w:eastAsia="en-US"/>
        </w:rPr>
        <w:t xml:space="preserve">Ils ont </w:t>
      </w:r>
      <w:r w:rsidR="004E2D70">
        <w:rPr>
          <w:rFonts w:ascii="Bodoni MT" w:eastAsia="Calibri" w:hAnsi="Bodoni MT"/>
          <w:sz w:val="22"/>
          <w:szCs w:val="22"/>
          <w:lang w:eastAsia="en-US"/>
        </w:rPr>
        <w:t xml:space="preserve">abouti à une forte recommandation commune au législateur de l’introduire </w:t>
      </w:r>
      <w:r w:rsidR="00846431">
        <w:rPr>
          <w:rFonts w:ascii="Bodoni MT" w:eastAsia="Calibri" w:hAnsi="Bodoni MT"/>
          <w:sz w:val="22"/>
          <w:szCs w:val="22"/>
          <w:lang w:eastAsia="en-US"/>
        </w:rPr>
        <w:t xml:space="preserve">plutôt </w:t>
      </w:r>
      <w:r w:rsidR="004E2D70">
        <w:rPr>
          <w:rFonts w:ascii="Bodoni MT" w:eastAsia="Calibri" w:hAnsi="Bodoni MT"/>
          <w:sz w:val="22"/>
          <w:szCs w:val="22"/>
          <w:lang w:eastAsia="en-US"/>
        </w:rPr>
        <w:t>dans le droit de contrat d’édition, sur la base de la clause suivante :</w:t>
      </w:r>
      <w:r w:rsidR="00FD562D">
        <w:rPr>
          <w:rFonts w:ascii="Bodoni MT" w:eastAsia="Calibri" w:hAnsi="Bodoni MT"/>
          <w:sz w:val="22"/>
          <w:szCs w:val="22"/>
          <w:lang w:eastAsia="en-US"/>
        </w:rPr>
        <w:t xml:space="preserve"> </w:t>
      </w:r>
    </w:p>
    <w:p w:rsidR="00FD562D" w:rsidRDefault="00FD562D" w:rsidP="00FD562D">
      <w:pPr>
        <w:spacing w:after="160" w:line="259" w:lineRule="auto"/>
        <w:jc w:val="left"/>
        <w:rPr>
          <w:rFonts w:ascii="Bodoni MT" w:eastAsia="Calibri" w:hAnsi="Bodoni MT"/>
          <w:i/>
          <w:sz w:val="22"/>
          <w:szCs w:val="22"/>
          <w:lang w:val="fr-CH" w:eastAsia="en-US"/>
        </w:rPr>
      </w:pPr>
      <w:r>
        <w:rPr>
          <w:rFonts w:ascii="Bodoni MT" w:eastAsia="Calibri" w:hAnsi="Bodoni MT"/>
          <w:i/>
          <w:sz w:val="22"/>
          <w:szCs w:val="22"/>
          <w:lang w:val="fr-CH" w:eastAsia="en-US"/>
        </w:rPr>
        <w:t>« </w:t>
      </w:r>
      <w:r w:rsidRPr="00FD562D">
        <w:rPr>
          <w:rFonts w:ascii="Bodoni MT" w:eastAsia="Calibri" w:hAnsi="Bodoni MT"/>
          <w:i/>
          <w:sz w:val="22"/>
          <w:szCs w:val="22"/>
          <w:lang w:val="fr-CH" w:eastAsia="en-US"/>
        </w:rPr>
        <w:t>Le droit de rendre librement accessible une contribution pour une revue scientifique ou un recueil scientifique financée par des moyens publics ne peut être transféré à l’éditeur.</w:t>
      </w:r>
      <w:r>
        <w:rPr>
          <w:rFonts w:ascii="Bodoni MT" w:eastAsia="Calibri" w:hAnsi="Bodoni MT"/>
          <w:i/>
          <w:sz w:val="22"/>
          <w:szCs w:val="22"/>
          <w:lang w:val="fr-CH" w:eastAsia="en-US"/>
        </w:rPr>
        <w:t> »</w:t>
      </w:r>
    </w:p>
    <w:p w:rsidR="00FD562D" w:rsidRDefault="00BA4CE7" w:rsidP="00923463">
      <w:pPr>
        <w:spacing w:after="160" w:line="259" w:lineRule="auto"/>
        <w:jc w:val="left"/>
        <w:rPr>
          <w:rFonts w:ascii="Bodoni MT" w:eastAsia="Calibri" w:hAnsi="Bodoni MT"/>
          <w:sz w:val="22"/>
          <w:szCs w:val="22"/>
          <w:lang w:val="fr-CH" w:eastAsia="en-US"/>
        </w:rPr>
      </w:pPr>
      <w:r w:rsidRPr="00BA4CE7">
        <w:rPr>
          <w:rFonts w:ascii="Bodoni MT" w:eastAsia="Calibri" w:hAnsi="Bodoni MT"/>
          <w:sz w:val="22"/>
          <w:szCs w:val="22"/>
          <w:lang w:val="fr-CH" w:eastAsia="en-US"/>
        </w:rPr>
        <w:t xml:space="preserve">La durée d’embargo resterait à définir. </w:t>
      </w:r>
      <w:r>
        <w:rPr>
          <w:rFonts w:ascii="Bodoni MT" w:eastAsia="Calibri" w:hAnsi="Bodoni MT"/>
          <w:sz w:val="22"/>
          <w:szCs w:val="22"/>
          <w:lang w:val="fr-CH" w:eastAsia="en-US"/>
        </w:rPr>
        <w:t>Le SNF, principale agence de financement scientifique suisse, recommande une durée de seulement 3 mois, elle propose également d’inclure les monographies dans le droit, avec un embargo de 24 mois.</w:t>
      </w:r>
    </w:p>
    <w:p w:rsidR="00BA4CE7" w:rsidRPr="00BA4CE7" w:rsidRDefault="00BA4CE7" w:rsidP="00923463">
      <w:pPr>
        <w:spacing w:after="160" w:line="259" w:lineRule="auto"/>
        <w:jc w:val="left"/>
        <w:rPr>
          <w:rFonts w:ascii="Bodoni MT" w:eastAsia="Calibri" w:hAnsi="Bodoni MT"/>
          <w:sz w:val="22"/>
          <w:szCs w:val="22"/>
          <w:lang w:val="fr-CH" w:eastAsia="en-US"/>
        </w:rPr>
      </w:pPr>
      <w:r>
        <w:rPr>
          <w:rFonts w:ascii="Bodoni MT" w:eastAsia="Calibri" w:hAnsi="Bodoni MT"/>
          <w:sz w:val="22"/>
          <w:szCs w:val="22"/>
          <w:lang w:val="fr-CH" w:eastAsia="en-US"/>
        </w:rPr>
        <w:t xml:space="preserve">Notons </w:t>
      </w:r>
      <w:r w:rsidR="001378B9">
        <w:rPr>
          <w:rFonts w:ascii="Bodoni MT" w:eastAsia="Calibri" w:hAnsi="Bodoni MT"/>
          <w:sz w:val="22"/>
          <w:szCs w:val="22"/>
          <w:lang w:val="fr-CH" w:eastAsia="en-US"/>
        </w:rPr>
        <w:t>enfin</w:t>
      </w:r>
      <w:r>
        <w:rPr>
          <w:rFonts w:ascii="Bodoni MT" w:eastAsia="Calibri" w:hAnsi="Bodoni MT"/>
          <w:sz w:val="22"/>
          <w:szCs w:val="22"/>
          <w:lang w:val="fr-CH" w:eastAsia="en-US"/>
        </w:rPr>
        <w:t xml:space="preserve"> que</w:t>
      </w:r>
      <w:r w:rsidR="00AE31A3">
        <w:rPr>
          <w:rFonts w:ascii="Bodoni MT" w:eastAsia="Calibri" w:hAnsi="Bodoni MT"/>
          <w:sz w:val="22"/>
          <w:szCs w:val="22"/>
          <w:lang w:val="fr-CH" w:eastAsia="en-US"/>
        </w:rPr>
        <w:t>,</w:t>
      </w:r>
      <w:r>
        <w:rPr>
          <w:rFonts w:ascii="Bodoni MT" w:eastAsia="Calibri" w:hAnsi="Bodoni MT"/>
          <w:sz w:val="22"/>
          <w:szCs w:val="22"/>
          <w:lang w:val="fr-CH" w:eastAsia="en-US"/>
        </w:rPr>
        <w:t xml:space="preserve"> quant au droit voté en 2015 aux Pays Bas</w:t>
      </w:r>
      <w:r w:rsidR="001378B9">
        <w:rPr>
          <w:rFonts w:ascii="Bodoni MT" w:eastAsia="Calibri" w:hAnsi="Bodoni MT"/>
          <w:sz w:val="22"/>
          <w:szCs w:val="22"/>
          <w:lang w:val="fr-CH" w:eastAsia="en-US"/>
        </w:rPr>
        <w:t xml:space="preserve"> (de façon plutôt discrète)</w:t>
      </w:r>
      <w:r>
        <w:rPr>
          <w:rFonts w:ascii="Bodoni MT" w:eastAsia="Calibri" w:hAnsi="Bodoni MT"/>
          <w:sz w:val="22"/>
          <w:szCs w:val="22"/>
          <w:lang w:val="fr-CH" w:eastAsia="en-US"/>
        </w:rPr>
        <w:t xml:space="preserve">, il s’agit bien d’un </w:t>
      </w:r>
      <w:r w:rsidR="000C147F">
        <w:rPr>
          <w:rFonts w:ascii="Bodoni MT" w:eastAsia="Calibri" w:hAnsi="Bodoni MT"/>
          <w:sz w:val="22"/>
          <w:szCs w:val="22"/>
          <w:lang w:val="fr-CH" w:eastAsia="en-US"/>
        </w:rPr>
        <w:t xml:space="preserve">amendement à la loi sur le droit </w:t>
      </w:r>
      <w:r>
        <w:rPr>
          <w:rFonts w:ascii="Bodoni MT" w:eastAsia="Calibri" w:hAnsi="Bodoni MT"/>
          <w:sz w:val="22"/>
          <w:szCs w:val="22"/>
          <w:lang w:val="fr-CH" w:eastAsia="en-US"/>
        </w:rPr>
        <w:t>d</w:t>
      </w:r>
      <w:r w:rsidR="000C147F">
        <w:rPr>
          <w:rFonts w:ascii="Bodoni MT" w:eastAsia="Calibri" w:hAnsi="Bodoni MT"/>
          <w:sz w:val="22"/>
          <w:szCs w:val="22"/>
          <w:lang w:val="fr-CH" w:eastAsia="en-US"/>
        </w:rPr>
        <w:t>’auteur, les Pays Bas suivant ainsi</w:t>
      </w:r>
      <w:r w:rsidR="001378B9">
        <w:rPr>
          <w:rFonts w:ascii="Bodoni MT" w:eastAsia="Calibri" w:hAnsi="Bodoni MT"/>
          <w:sz w:val="22"/>
          <w:szCs w:val="22"/>
          <w:lang w:val="fr-CH" w:eastAsia="en-US"/>
        </w:rPr>
        <w:t xml:space="preserve">, </w:t>
      </w:r>
      <w:r w:rsidR="000C147F">
        <w:rPr>
          <w:rFonts w:ascii="Bodoni MT" w:eastAsia="Calibri" w:hAnsi="Bodoni MT"/>
          <w:sz w:val="22"/>
          <w:szCs w:val="22"/>
          <w:lang w:val="fr-CH" w:eastAsia="en-US"/>
        </w:rPr>
        <w:t>contrairement à la France</w:t>
      </w:r>
      <w:r w:rsidR="001378B9">
        <w:rPr>
          <w:rFonts w:ascii="Bodoni MT" w:eastAsia="Calibri" w:hAnsi="Bodoni MT"/>
          <w:sz w:val="22"/>
          <w:szCs w:val="22"/>
          <w:lang w:val="fr-CH" w:eastAsia="en-US"/>
        </w:rPr>
        <w:t>,</w:t>
      </w:r>
      <w:r w:rsidR="000C147F">
        <w:rPr>
          <w:rFonts w:ascii="Bodoni MT" w:eastAsia="Calibri" w:hAnsi="Bodoni MT"/>
          <w:sz w:val="22"/>
          <w:szCs w:val="22"/>
          <w:lang w:val="fr-CH" w:eastAsia="en-US"/>
        </w:rPr>
        <w:t xml:space="preserve"> l’exemple de l’Allemagne et l’Autriche. </w:t>
      </w:r>
    </w:p>
    <w:p w:rsidR="0012365D" w:rsidRPr="001378B9" w:rsidRDefault="0012365D" w:rsidP="008947D1">
      <w:pPr>
        <w:spacing w:after="160" w:line="259" w:lineRule="auto"/>
        <w:jc w:val="left"/>
        <w:rPr>
          <w:rFonts w:ascii="Bodoni MT" w:eastAsia="Calibri" w:hAnsi="Bodoni MT"/>
          <w:sz w:val="22"/>
          <w:szCs w:val="22"/>
          <w:lang w:val="fr-CH" w:eastAsia="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Les délais d’embargo</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Les discussions et prises de position en France autour du volet « open </w:t>
      </w:r>
      <w:proofErr w:type="spellStart"/>
      <w:r w:rsidRPr="008947D1">
        <w:rPr>
          <w:rFonts w:ascii="Bodoni MT" w:eastAsia="Calibri" w:hAnsi="Bodoni MT"/>
          <w:sz w:val="22"/>
          <w:szCs w:val="22"/>
          <w:lang w:eastAsia="en-US"/>
        </w:rPr>
        <w:t>access</w:t>
      </w:r>
      <w:proofErr w:type="spellEnd"/>
      <w:r w:rsidRPr="008947D1">
        <w:rPr>
          <w:rFonts w:ascii="Bodoni MT" w:eastAsia="Calibri" w:hAnsi="Bodoni MT"/>
          <w:sz w:val="22"/>
          <w:szCs w:val="22"/>
          <w:lang w:eastAsia="en-US"/>
        </w:rPr>
        <w:t xml:space="preserve"> » de la loi numérique, animées et controverses, portaient essentiellement sur les durées d’embargo associées au droit en question.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Pour rappel : Une version de travail du projet de loi qui circulait en juillet 2015 prévoyait des délais de 6 mois pour les STM et 12 mois pour les SHS, conforme à une </w:t>
      </w:r>
      <w:r w:rsidR="000108CE">
        <w:rPr>
          <w:rFonts w:ascii="Bodoni MT" w:eastAsia="Calibri" w:hAnsi="Bodoni MT"/>
          <w:sz w:val="22"/>
          <w:szCs w:val="22"/>
          <w:lang w:eastAsia="en-US"/>
        </w:rPr>
        <w:t xml:space="preserve">première </w:t>
      </w:r>
      <w:r w:rsidRPr="008947D1">
        <w:rPr>
          <w:rFonts w:ascii="Bodoni MT" w:eastAsia="Calibri" w:hAnsi="Bodoni MT"/>
          <w:sz w:val="22"/>
          <w:szCs w:val="22"/>
          <w:lang w:eastAsia="en-US"/>
        </w:rPr>
        <w:t xml:space="preserve">proposition établie par le MENESR. (Par ailleurs, dans cette version, l’article en question faisait l’objet d’un ajout au code de la propriété intellectuelle.) Dans sa version soumise à la consultation publique deux mois plus tard, résultat d’un arbitrage interministériel, les délais avaient simplement doublés (12 </w:t>
      </w:r>
      <w:proofErr w:type="spellStart"/>
      <w:r w:rsidRPr="008947D1">
        <w:rPr>
          <w:rFonts w:ascii="Bodoni MT" w:eastAsia="Calibri" w:hAnsi="Bodoni MT"/>
          <w:sz w:val="22"/>
          <w:szCs w:val="22"/>
          <w:lang w:eastAsia="en-US"/>
        </w:rPr>
        <w:t>resp</w:t>
      </w:r>
      <w:proofErr w:type="spellEnd"/>
      <w:r w:rsidRPr="008947D1">
        <w:rPr>
          <w:rFonts w:ascii="Bodoni MT" w:eastAsia="Calibri" w:hAnsi="Bodoni MT"/>
          <w:sz w:val="22"/>
          <w:szCs w:val="22"/>
          <w:lang w:eastAsia="en-US"/>
        </w:rPr>
        <w:t>. 24 mois !) Il n’était plus question d’un ajout au code de la propriété intellectuelle, mais plutôt au code de la recherche.</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Une forte mobilisation, durant la consultation publique, par des acteurs de l’ESR français, et notamment par le CNRS</w:t>
      </w:r>
      <w:r w:rsidR="00764F8B">
        <w:rPr>
          <w:rFonts w:ascii="Bodoni MT" w:eastAsia="Calibri" w:hAnsi="Bodoni MT"/>
          <w:sz w:val="22"/>
          <w:szCs w:val="22"/>
          <w:lang w:eastAsia="en-US"/>
        </w:rPr>
        <w:t xml:space="preserve"> </w:t>
      </w:r>
      <w:r w:rsidR="00F7593A">
        <w:rPr>
          <w:rFonts w:ascii="Bodoni MT" w:eastAsia="Calibri" w:hAnsi="Bodoni MT"/>
          <w:sz w:val="22"/>
          <w:szCs w:val="22"/>
          <w:lang w:eastAsia="en-US"/>
        </w:rPr>
        <w:t>(Fabre, 2015)</w:t>
      </w:r>
      <w:r w:rsidRPr="008947D1">
        <w:rPr>
          <w:rFonts w:ascii="Bodoni MT" w:eastAsia="Calibri" w:hAnsi="Bodoni MT"/>
          <w:sz w:val="22"/>
          <w:szCs w:val="22"/>
          <w:lang w:eastAsia="en-US"/>
        </w:rPr>
        <w:t>, permettait de ramener les embargos aux durées initiales. Elles sont restées les mêmes lors des différentes étapes que le projet de loi avait encore à parcourir (Conseil d’Etat, Conseil des ministres, Assemblé nationale, Sénat, Commission mixte paritaire).</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Elles répondent aussi à la recommandation récurrente, lors de la consultation publique, d’aligner les délais d’embargo sur ceux fixés par l</w:t>
      </w:r>
      <w:r w:rsidR="000A5BF0">
        <w:rPr>
          <w:rFonts w:ascii="Bodoni MT" w:eastAsia="Calibri" w:hAnsi="Bodoni MT"/>
          <w:sz w:val="22"/>
          <w:szCs w:val="22"/>
          <w:lang w:eastAsia="en-US"/>
        </w:rPr>
        <w:t xml:space="preserve">es instances </w:t>
      </w:r>
      <w:r w:rsidRPr="008947D1">
        <w:rPr>
          <w:rFonts w:ascii="Bodoni MT" w:eastAsia="Calibri" w:hAnsi="Bodoni MT"/>
          <w:sz w:val="22"/>
          <w:szCs w:val="22"/>
          <w:lang w:eastAsia="en-US"/>
        </w:rPr>
        <w:t>européenne</w:t>
      </w:r>
      <w:r w:rsidR="000A5BF0">
        <w:rPr>
          <w:rFonts w:ascii="Bodoni MT" w:eastAsia="Calibri" w:hAnsi="Bodoni MT"/>
          <w:sz w:val="22"/>
          <w:szCs w:val="22"/>
          <w:lang w:eastAsia="en-US"/>
        </w:rPr>
        <w:t>s</w:t>
      </w:r>
      <w:r w:rsidRPr="008947D1">
        <w:rPr>
          <w:rFonts w:ascii="Bodoni MT" w:eastAsia="Calibri" w:hAnsi="Bodoni MT"/>
          <w:sz w:val="22"/>
          <w:szCs w:val="22"/>
          <w:lang w:eastAsia="en-US"/>
        </w:rPr>
        <w:t xml:space="preserve"> dans ses projets financés</w:t>
      </w:r>
      <w:r w:rsidR="00ED2553">
        <w:rPr>
          <w:rFonts w:ascii="Bodoni MT" w:eastAsia="Calibri" w:hAnsi="Bodoni MT"/>
          <w:sz w:val="22"/>
          <w:szCs w:val="22"/>
          <w:lang w:eastAsia="en-US"/>
        </w:rPr>
        <w:t xml:space="preserve">, </w:t>
      </w:r>
      <w:r w:rsidRPr="008947D1">
        <w:rPr>
          <w:rFonts w:ascii="Bodoni MT" w:eastAsia="Calibri" w:hAnsi="Bodoni MT"/>
          <w:sz w:val="22"/>
          <w:szCs w:val="22"/>
          <w:lang w:eastAsia="en-US"/>
        </w:rPr>
        <w:t xml:space="preserve">notamment dans le programme H2020 </w:t>
      </w:r>
      <w:r w:rsidR="000A5BF0">
        <w:rPr>
          <w:rFonts w:ascii="Bodoni MT" w:eastAsia="Calibri" w:hAnsi="Bodoni MT"/>
          <w:sz w:val="22"/>
          <w:szCs w:val="22"/>
          <w:lang w:eastAsia="en-US"/>
        </w:rPr>
        <w:t>(Commission européenne, 2016)</w:t>
      </w:r>
      <w:r w:rsidRPr="008947D1">
        <w:rPr>
          <w:rFonts w:ascii="Bodoni MT" w:eastAsia="Calibri" w:hAnsi="Bodoni MT"/>
          <w:sz w:val="22"/>
          <w:szCs w:val="22"/>
          <w:lang w:eastAsia="en-US"/>
        </w:rPr>
        <w:t xml:space="preserve">, alors que la demande d’une disponibilité immédiate, </w:t>
      </w:r>
      <w:proofErr w:type="spellStart"/>
      <w:r w:rsidRPr="008947D1">
        <w:rPr>
          <w:rFonts w:ascii="Bodoni MT" w:eastAsia="Calibri" w:hAnsi="Bodoni MT"/>
          <w:sz w:val="22"/>
          <w:szCs w:val="22"/>
          <w:lang w:eastAsia="en-US"/>
        </w:rPr>
        <w:t>c.a.d</w:t>
      </w:r>
      <w:proofErr w:type="spellEnd"/>
      <w:r w:rsidRPr="008947D1">
        <w:rPr>
          <w:rFonts w:ascii="Bodoni MT" w:eastAsia="Calibri" w:hAnsi="Bodoni MT"/>
          <w:sz w:val="22"/>
          <w:szCs w:val="22"/>
          <w:lang w:eastAsia="en-US"/>
        </w:rPr>
        <w:t>. d’une absence de tout type d’embargo, était également très fréquente. En effet, dans la liste classée des « Modifications suggérées » de l’article 9 traitant du Libre accès, dans la synthèse de la consultation publique</w:t>
      </w:r>
      <w:r w:rsidRPr="008947D1">
        <w:rPr>
          <w:rFonts w:ascii="Bodoni MT" w:eastAsia="Calibri" w:hAnsi="Bodoni MT"/>
          <w:sz w:val="22"/>
          <w:szCs w:val="22"/>
          <w:vertAlign w:val="superscript"/>
          <w:lang w:eastAsia="en-US"/>
        </w:rPr>
        <w:footnoteReference w:id="11"/>
      </w:r>
      <w:r w:rsidRPr="008947D1">
        <w:rPr>
          <w:rFonts w:ascii="Bodoni MT" w:eastAsia="Calibri" w:hAnsi="Bodoni MT"/>
          <w:sz w:val="22"/>
          <w:szCs w:val="22"/>
          <w:lang w:eastAsia="en-US"/>
        </w:rPr>
        <w:t xml:space="preserve">, la suggestion « Supprimer le délai d’embargo » arrive en tête des suggestions concernant </w:t>
      </w:r>
      <w:r w:rsidR="000108CE">
        <w:rPr>
          <w:rFonts w:ascii="Bodoni MT" w:eastAsia="Calibri" w:hAnsi="Bodoni MT"/>
          <w:sz w:val="22"/>
          <w:szCs w:val="22"/>
          <w:lang w:eastAsia="en-US"/>
        </w:rPr>
        <w:t>l</w:t>
      </w:r>
      <w:r w:rsidRPr="008947D1">
        <w:rPr>
          <w:rFonts w:ascii="Bodoni MT" w:eastAsia="Calibri" w:hAnsi="Bodoni MT"/>
          <w:sz w:val="22"/>
          <w:szCs w:val="22"/>
          <w:lang w:eastAsia="en-US"/>
        </w:rPr>
        <w:t xml:space="preserve">es délais.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D’un autre côté, dans les « Points de vigilance », c’est la suggestion « Réaliser des études d’impact avant de légiférer » qui arrive en tête de liste. Car en effet, même si ce droit traite les Sciences Humaines et Sociales (SHS) comme un cas particulier et prévoit une durée d’embargo deux fois plus longue que celle des « sciences dures » (STM), la critique des éditeurs SHS était virulente, considérant qu’une publication secondaire au bout de 12 mois risquait de menacer leur existence et préconisant « des embargos compatibles avec la viabilité de leurs activités économiques » (extrait de la contribution du GFII)</w:t>
      </w:r>
      <w:r w:rsidRPr="008947D1">
        <w:rPr>
          <w:rFonts w:ascii="Bodoni MT" w:eastAsia="Calibri" w:hAnsi="Bodoni MT"/>
          <w:sz w:val="22"/>
          <w:szCs w:val="22"/>
          <w:vertAlign w:val="superscript"/>
          <w:lang w:eastAsia="en-US"/>
        </w:rPr>
        <w:footnoteReference w:id="12"/>
      </w:r>
      <w:r w:rsidRPr="008947D1">
        <w:rPr>
          <w:rFonts w:ascii="Bodoni MT" w:eastAsia="Calibri" w:hAnsi="Bodoni MT"/>
          <w:sz w:val="22"/>
          <w:szCs w:val="22"/>
          <w:lang w:eastAsia="en-US"/>
        </w:rPr>
        <w:t>, ou bien encore la fixation des délais « par Décret après réalisation d'études d'impact indépendantes, discipline par discipline » (contribution de Cairn).</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En effet, à titre de comparaison, comme on peut </w:t>
      </w:r>
      <w:r w:rsidR="000108CE">
        <w:rPr>
          <w:rFonts w:ascii="Bodoni MT" w:eastAsia="Calibri" w:hAnsi="Bodoni MT"/>
          <w:sz w:val="22"/>
          <w:szCs w:val="22"/>
          <w:lang w:eastAsia="en-US"/>
        </w:rPr>
        <w:t xml:space="preserve">le </w:t>
      </w:r>
      <w:r w:rsidRPr="008947D1">
        <w:rPr>
          <w:rFonts w:ascii="Bodoni MT" w:eastAsia="Calibri" w:hAnsi="Bodoni MT"/>
          <w:sz w:val="22"/>
          <w:szCs w:val="22"/>
          <w:lang w:eastAsia="en-US"/>
        </w:rPr>
        <w:t>voir sur la plateforme Héloïse</w:t>
      </w:r>
      <w:r w:rsidRPr="008947D1">
        <w:rPr>
          <w:rFonts w:ascii="Bodoni MT" w:eastAsia="Calibri" w:hAnsi="Bodoni MT"/>
          <w:sz w:val="22"/>
          <w:szCs w:val="22"/>
          <w:vertAlign w:val="superscript"/>
          <w:lang w:eastAsia="en-US"/>
        </w:rPr>
        <w:footnoteReference w:id="13"/>
      </w:r>
      <w:r w:rsidRPr="008947D1">
        <w:rPr>
          <w:rFonts w:ascii="Bodoni MT" w:eastAsia="Calibri" w:hAnsi="Bodoni MT"/>
          <w:sz w:val="22"/>
          <w:szCs w:val="22"/>
          <w:lang w:eastAsia="en-US"/>
        </w:rPr>
        <w:t xml:space="preserve"> opérée par le CCSD, il est aujourd’hui courant que des éditeurs SHS français appliquent des délais d’embargo de 2 ans, voire 3 ans, y compris pour l</w:t>
      </w:r>
      <w:r w:rsidR="000108CE">
        <w:rPr>
          <w:rFonts w:ascii="Bodoni MT" w:eastAsia="Calibri" w:hAnsi="Bodoni MT"/>
          <w:sz w:val="22"/>
          <w:szCs w:val="22"/>
          <w:lang w:eastAsia="en-US"/>
        </w:rPr>
        <w:t>es</w:t>
      </w:r>
      <w:r w:rsidRPr="008947D1">
        <w:rPr>
          <w:rFonts w:ascii="Bodoni MT" w:eastAsia="Calibri" w:hAnsi="Bodoni MT"/>
          <w:sz w:val="22"/>
          <w:szCs w:val="22"/>
          <w:lang w:eastAsia="en-US"/>
        </w:rPr>
        <w:t xml:space="preserve"> version</w:t>
      </w:r>
      <w:r w:rsidR="000108CE">
        <w:rPr>
          <w:rFonts w:ascii="Bodoni MT" w:eastAsia="Calibri" w:hAnsi="Bodoni MT"/>
          <w:sz w:val="22"/>
          <w:szCs w:val="22"/>
          <w:lang w:eastAsia="en-US"/>
        </w:rPr>
        <w:t>s qui précèdent la version finale de l’éditeur.</w:t>
      </w:r>
      <w:r w:rsidRPr="008947D1">
        <w:rPr>
          <w:rFonts w:ascii="Bodoni MT" w:eastAsia="Calibri" w:hAnsi="Bodoni MT"/>
          <w:sz w:val="22"/>
          <w:szCs w:val="22"/>
          <w:lang w:eastAsia="en-US"/>
        </w:rPr>
        <w:t xml:space="preserve">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Il convient de rappeler que globalement les pratiques de publication en SHS diffèrent de celles des disciplines STM : la part des textes publiés dans des monographies</w:t>
      </w:r>
      <w:r w:rsidR="000108CE">
        <w:rPr>
          <w:rFonts w:ascii="Bodoni MT" w:eastAsia="Calibri" w:hAnsi="Bodoni MT"/>
          <w:sz w:val="22"/>
          <w:szCs w:val="22"/>
          <w:lang w:eastAsia="en-US"/>
        </w:rPr>
        <w:t xml:space="preserve"> y</w:t>
      </w:r>
      <w:r w:rsidRPr="008947D1">
        <w:rPr>
          <w:rFonts w:ascii="Bodoni MT" w:eastAsia="Calibri" w:hAnsi="Bodoni MT"/>
          <w:sz w:val="22"/>
          <w:szCs w:val="22"/>
          <w:lang w:eastAsia="en-US"/>
        </w:rPr>
        <w:t xml:space="preserve"> e</w:t>
      </w:r>
      <w:r w:rsidR="000108CE">
        <w:rPr>
          <w:rFonts w:ascii="Bodoni MT" w:eastAsia="Calibri" w:hAnsi="Bodoni MT"/>
          <w:sz w:val="22"/>
          <w:szCs w:val="22"/>
          <w:lang w:eastAsia="en-US"/>
        </w:rPr>
        <w:t>s</w:t>
      </w:r>
      <w:r w:rsidRPr="008947D1">
        <w:rPr>
          <w:rFonts w:ascii="Bodoni MT" w:eastAsia="Calibri" w:hAnsi="Bodoni MT"/>
          <w:sz w:val="22"/>
          <w:szCs w:val="22"/>
          <w:lang w:eastAsia="en-US"/>
        </w:rPr>
        <w:t xml:space="preserve">t plus importante. Or, ces </w:t>
      </w:r>
      <w:r w:rsidR="000108CE">
        <w:rPr>
          <w:rFonts w:ascii="Bodoni MT" w:eastAsia="Calibri" w:hAnsi="Bodoni MT"/>
          <w:sz w:val="22"/>
          <w:szCs w:val="22"/>
          <w:lang w:eastAsia="en-US"/>
        </w:rPr>
        <w:t xml:space="preserve">autres </w:t>
      </w:r>
      <w:r w:rsidRPr="008947D1">
        <w:rPr>
          <w:rFonts w:ascii="Bodoni MT" w:eastAsia="Calibri" w:hAnsi="Bodoni MT"/>
          <w:sz w:val="22"/>
          <w:szCs w:val="22"/>
          <w:lang w:eastAsia="en-US"/>
        </w:rPr>
        <w:t xml:space="preserve">formes de publication ne sont pas concernées par le </w:t>
      </w:r>
      <w:r w:rsidR="000108CE">
        <w:rPr>
          <w:rFonts w:ascii="Bodoni MT" w:eastAsia="Calibri" w:hAnsi="Bodoni MT"/>
          <w:sz w:val="22"/>
          <w:szCs w:val="22"/>
          <w:lang w:eastAsia="en-US"/>
        </w:rPr>
        <w:t xml:space="preserve">nouveau </w:t>
      </w:r>
      <w:r w:rsidRPr="008947D1">
        <w:rPr>
          <w:rFonts w:ascii="Bodoni MT" w:eastAsia="Calibri" w:hAnsi="Bodoni MT"/>
          <w:sz w:val="22"/>
          <w:szCs w:val="22"/>
          <w:lang w:eastAsia="en-US"/>
        </w:rPr>
        <w:t>droit</w:t>
      </w:r>
      <w:r w:rsidR="000108CE">
        <w:rPr>
          <w:rFonts w:ascii="Bodoni MT" w:eastAsia="Calibri" w:hAnsi="Bodoni MT"/>
          <w:sz w:val="22"/>
          <w:szCs w:val="22"/>
          <w:lang w:eastAsia="en-US"/>
        </w:rPr>
        <w:t>.</w:t>
      </w:r>
      <w:r w:rsidRPr="008947D1">
        <w:rPr>
          <w:rFonts w:ascii="Bodoni MT" w:eastAsia="Calibri" w:hAnsi="Bodoni MT"/>
          <w:sz w:val="22"/>
          <w:szCs w:val="22"/>
          <w:lang w:eastAsia="en-US"/>
        </w:rPr>
        <w:t xml:space="preserve"> </w:t>
      </w:r>
      <w:r w:rsidR="002A1329">
        <w:rPr>
          <w:rFonts w:ascii="Bodoni MT" w:eastAsia="Calibri" w:hAnsi="Bodoni MT"/>
          <w:sz w:val="22"/>
          <w:szCs w:val="22"/>
          <w:lang w:eastAsia="en-US"/>
        </w:rPr>
        <w:t>D</w:t>
      </w:r>
      <w:r w:rsidRPr="008947D1">
        <w:rPr>
          <w:rFonts w:ascii="Bodoni MT" w:eastAsia="Calibri" w:hAnsi="Bodoni MT"/>
          <w:sz w:val="22"/>
          <w:szCs w:val="22"/>
          <w:lang w:eastAsia="en-US"/>
        </w:rPr>
        <w:t xml:space="preserve">e ce point de </w:t>
      </w:r>
      <w:proofErr w:type="spellStart"/>
      <w:r w:rsidRPr="008947D1">
        <w:rPr>
          <w:rFonts w:ascii="Bodoni MT" w:eastAsia="Calibri" w:hAnsi="Bodoni MT"/>
          <w:sz w:val="22"/>
          <w:szCs w:val="22"/>
          <w:lang w:eastAsia="en-US"/>
        </w:rPr>
        <w:t>vue là</w:t>
      </w:r>
      <w:proofErr w:type="spellEnd"/>
      <w:r w:rsidRPr="008947D1">
        <w:rPr>
          <w:rFonts w:ascii="Bodoni MT" w:eastAsia="Calibri" w:hAnsi="Bodoni MT"/>
          <w:sz w:val="22"/>
          <w:szCs w:val="22"/>
          <w:lang w:eastAsia="en-US"/>
        </w:rPr>
        <w:t xml:space="preserve">, l’éditeur n’a donc rien à craindre (et l’auteur en règle générale rien à espérer en termes de republication.) </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On peut finalement noter que la distinction entre STM et SH</w:t>
      </w:r>
      <w:r w:rsidR="002A1329">
        <w:rPr>
          <w:rFonts w:ascii="Bodoni MT" w:eastAsia="Calibri" w:hAnsi="Bodoni MT"/>
          <w:sz w:val="22"/>
          <w:szCs w:val="22"/>
          <w:lang w:eastAsia="en-US"/>
        </w:rPr>
        <w:t>S</w:t>
      </w:r>
      <w:r w:rsidRPr="008947D1">
        <w:rPr>
          <w:rFonts w:ascii="Bodoni MT" w:eastAsia="Calibri" w:hAnsi="Bodoni MT"/>
          <w:sz w:val="22"/>
          <w:szCs w:val="22"/>
          <w:lang w:eastAsia="en-US"/>
        </w:rPr>
        <w:t xml:space="preserve"> n’est pas fait dans les autres pays qui ont adopté un tel droit. Néanmoins, à cet égard, la formulation de la loi néerlandaise</w:t>
      </w:r>
      <w:r w:rsidR="000108CE">
        <w:rPr>
          <w:rFonts w:ascii="Bodoni MT" w:eastAsia="Calibri" w:hAnsi="Bodoni MT"/>
          <w:sz w:val="22"/>
          <w:szCs w:val="22"/>
          <w:lang w:eastAsia="en-US"/>
        </w:rPr>
        <w:t>,</w:t>
      </w:r>
      <w:r w:rsidRPr="008947D1">
        <w:rPr>
          <w:rFonts w:ascii="Bodoni MT" w:eastAsia="Calibri" w:hAnsi="Bodoni MT"/>
          <w:sz w:val="22"/>
          <w:szCs w:val="22"/>
          <w:lang w:eastAsia="en-US"/>
        </w:rPr>
        <w:t xml:space="preserve"> « </w:t>
      </w:r>
      <w:proofErr w:type="spellStart"/>
      <w:r w:rsidRPr="008947D1">
        <w:rPr>
          <w:rFonts w:ascii="Bodoni MT" w:eastAsia="Calibri" w:hAnsi="Bodoni MT"/>
          <w:sz w:val="22"/>
          <w:szCs w:val="22"/>
          <w:lang w:eastAsia="en-US"/>
        </w:rPr>
        <w:t>after</w:t>
      </w:r>
      <w:proofErr w:type="spellEnd"/>
      <w:r w:rsidRPr="008947D1">
        <w:rPr>
          <w:rFonts w:ascii="Bodoni MT" w:eastAsia="Calibri" w:hAnsi="Bodoni MT"/>
          <w:sz w:val="22"/>
          <w:szCs w:val="22"/>
          <w:lang w:eastAsia="en-US"/>
        </w:rPr>
        <w:t xml:space="preserve"> a </w:t>
      </w:r>
      <w:proofErr w:type="spellStart"/>
      <w:r w:rsidRPr="008947D1">
        <w:rPr>
          <w:rFonts w:ascii="Bodoni MT" w:eastAsia="Calibri" w:hAnsi="Bodoni MT"/>
          <w:sz w:val="22"/>
          <w:szCs w:val="22"/>
          <w:lang w:eastAsia="en-US"/>
        </w:rPr>
        <w:t>reasonable</w:t>
      </w:r>
      <w:proofErr w:type="spellEnd"/>
      <w:r w:rsidRPr="008947D1">
        <w:rPr>
          <w:rFonts w:ascii="Bodoni MT" w:eastAsia="Calibri" w:hAnsi="Bodoni MT"/>
          <w:sz w:val="22"/>
          <w:szCs w:val="22"/>
          <w:lang w:eastAsia="en-US"/>
        </w:rPr>
        <w:t xml:space="preserve"> </w:t>
      </w:r>
      <w:proofErr w:type="spellStart"/>
      <w:r w:rsidRPr="008947D1">
        <w:rPr>
          <w:rFonts w:ascii="Bodoni MT" w:eastAsia="Calibri" w:hAnsi="Bodoni MT"/>
          <w:sz w:val="22"/>
          <w:szCs w:val="22"/>
          <w:lang w:eastAsia="en-US"/>
        </w:rPr>
        <w:t>period</w:t>
      </w:r>
      <w:proofErr w:type="spellEnd"/>
      <w:r w:rsidRPr="008947D1">
        <w:rPr>
          <w:rFonts w:ascii="Bodoni MT" w:eastAsia="Calibri" w:hAnsi="Bodoni MT"/>
          <w:sz w:val="22"/>
          <w:szCs w:val="22"/>
          <w:lang w:eastAsia="en-US"/>
        </w:rPr>
        <w:t xml:space="preserve"> of time », semble très vague, d’autant plus que cette période d’embargo serait à négocier avec l’éditeur, ce qui donne à celui-ci une grande marge d’autoprotection.</w:t>
      </w:r>
    </w:p>
    <w:p w:rsidR="008947D1" w:rsidRPr="008947D1" w:rsidRDefault="008947D1" w:rsidP="008947D1">
      <w:pPr>
        <w:spacing w:after="160" w:line="259" w:lineRule="auto"/>
        <w:jc w:val="left"/>
        <w:rPr>
          <w:rFonts w:ascii="Bodoni MT" w:eastAsia="Calibri" w:hAnsi="Bodoni MT"/>
          <w:sz w:val="24"/>
          <w:szCs w:val="24"/>
          <w:lang w:eastAsia="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Périmètre de validité - questions juridiques</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La validité du droit garanti par la loi, au-delà de la législation du pays dans laquelle elle a été introduite, a fait l’objet de beaucoup de discussions, notamment en Allemagne. Peut-il s’appliquer quand l’auteur publie dans une revue étrangère ? Dans le contraire – tout le monde l’admet – il n’a qu’un faible impact. Ces questions ont aussi été posées lors des auditions devant le parlement et le Sénat, dans le cadre du projet de loi numérique français. En première réponse on peut dire que</w:t>
      </w:r>
      <w:r w:rsidR="000108CE">
        <w:rPr>
          <w:rFonts w:ascii="Bodoni MT" w:eastAsia="Calibri" w:hAnsi="Bodoni MT"/>
          <w:sz w:val="22"/>
          <w:szCs w:val="22"/>
          <w:lang w:eastAsia="en-US"/>
        </w:rPr>
        <w:t xml:space="preserve"> « oui »</w:t>
      </w:r>
      <w:r w:rsidRPr="008947D1">
        <w:rPr>
          <w:rFonts w:ascii="Bodoni MT" w:eastAsia="Calibri" w:hAnsi="Bodoni MT"/>
          <w:sz w:val="22"/>
          <w:szCs w:val="22"/>
          <w:lang w:eastAsia="en-US"/>
        </w:rPr>
        <w:t xml:space="preserve">, </w:t>
      </w:r>
      <w:r w:rsidR="000108CE">
        <w:rPr>
          <w:rFonts w:ascii="Bodoni MT" w:eastAsia="Calibri" w:hAnsi="Bodoni MT"/>
          <w:sz w:val="22"/>
          <w:szCs w:val="22"/>
          <w:lang w:eastAsia="en-US"/>
        </w:rPr>
        <w:t xml:space="preserve">que </w:t>
      </w:r>
      <w:r w:rsidRPr="008947D1">
        <w:rPr>
          <w:rFonts w:ascii="Bodoni MT" w:eastAsia="Calibri" w:hAnsi="Bodoni MT"/>
          <w:sz w:val="22"/>
          <w:szCs w:val="22"/>
          <w:lang w:eastAsia="en-US"/>
        </w:rPr>
        <w:t>globalement la question du droit qui s’applique est loin d’être tranchée par la seule nationalité de l’éditeur.</w:t>
      </w:r>
    </w:p>
    <w:p w:rsidR="008947D1" w:rsidRPr="008947D1" w:rsidRDefault="008947D1" w:rsidP="000108CE">
      <w:pPr>
        <w:spacing w:line="259" w:lineRule="auto"/>
        <w:jc w:val="left"/>
        <w:rPr>
          <w:rFonts w:ascii="Bodoni MT" w:eastAsia="Calibri" w:hAnsi="Bodoni MT"/>
          <w:iCs/>
          <w:sz w:val="22"/>
          <w:szCs w:val="22"/>
          <w:lang w:eastAsia="en-US"/>
        </w:rPr>
      </w:pPr>
      <w:r w:rsidRPr="008947D1">
        <w:rPr>
          <w:rFonts w:ascii="Bodoni MT" w:eastAsia="Calibri" w:hAnsi="Bodoni MT"/>
          <w:sz w:val="22"/>
          <w:szCs w:val="22"/>
          <w:lang w:eastAsia="en-US"/>
        </w:rPr>
        <w:t xml:space="preserve">Néanmoins, à cause d’une situation juridique complexe et incertaine, les opinions concernant la validité internationale du </w:t>
      </w:r>
      <w:r w:rsidRPr="008947D1">
        <w:rPr>
          <w:rFonts w:ascii="Bodoni MT" w:eastAsia="Calibri" w:hAnsi="Bodoni MT"/>
          <w:iCs/>
          <w:sz w:val="22"/>
          <w:szCs w:val="22"/>
          <w:lang w:eastAsia="en-US"/>
        </w:rPr>
        <w:t>droit de publication secondaire</w:t>
      </w:r>
      <w:r w:rsidRPr="008947D1">
        <w:rPr>
          <w:rFonts w:ascii="Bodoni MT" w:eastAsia="Calibri" w:hAnsi="Bodoni MT"/>
          <w:sz w:val="22"/>
          <w:szCs w:val="22"/>
          <w:lang w:eastAsia="en-US"/>
        </w:rPr>
        <w:t xml:space="preserve"> allemand divergent toujours</w:t>
      </w:r>
      <w:r w:rsidRPr="008947D1">
        <w:rPr>
          <w:rFonts w:ascii="Bodoni MT" w:eastAsia="Calibri" w:hAnsi="Bodoni MT"/>
          <w:sz w:val="22"/>
          <w:szCs w:val="22"/>
          <w:vertAlign w:val="superscript"/>
          <w:lang w:eastAsia="en-US"/>
        </w:rPr>
        <w:footnoteReference w:id="14"/>
      </w:r>
      <w:r w:rsidRPr="008947D1">
        <w:rPr>
          <w:rFonts w:ascii="Bodoni MT" w:eastAsia="Calibri" w:hAnsi="Bodoni MT"/>
          <w:sz w:val="22"/>
          <w:szCs w:val="22"/>
          <w:lang w:eastAsia="en-US"/>
        </w:rPr>
        <w:t>. Elles vont du point de vue qu’il s’applique indépendamment du lieu d’édition de la revue ou du siège de l’éditeur jusqu’à l’opinion que ce droit ne s’applique qu’aux revues/éditeurs allemands (position défendue, entre autres, par</w:t>
      </w:r>
      <w:r w:rsidRPr="008947D1">
        <w:rPr>
          <w:rFonts w:ascii="Bodoni MT" w:eastAsia="Calibri" w:hAnsi="Bodoni MT"/>
          <w:i/>
          <w:iCs/>
          <w:sz w:val="22"/>
          <w:szCs w:val="22"/>
          <w:lang w:eastAsia="en-US"/>
        </w:rPr>
        <w:t xml:space="preserve"> </w:t>
      </w:r>
      <w:r w:rsidRPr="008947D1">
        <w:rPr>
          <w:rFonts w:ascii="Bodoni MT" w:eastAsia="Calibri" w:hAnsi="Bodoni MT"/>
          <w:iCs/>
          <w:sz w:val="22"/>
          <w:szCs w:val="22"/>
          <w:lang w:eastAsia="en-US"/>
        </w:rPr>
        <w:t>le juriste de l’association des éditeurs allemands…).</w:t>
      </w:r>
    </w:p>
    <w:p w:rsidR="008947D1" w:rsidRDefault="008947D1" w:rsidP="008947D1">
      <w:pPr>
        <w:spacing w:line="240" w:lineRule="auto"/>
        <w:jc w:val="left"/>
        <w:rPr>
          <w:rFonts w:ascii="Bodoni MT" w:eastAsia="Calibri" w:hAnsi="Bodoni MT"/>
          <w:sz w:val="22"/>
          <w:szCs w:val="22"/>
          <w:lang w:eastAsia="en-US"/>
        </w:rPr>
      </w:pPr>
      <w:r w:rsidRPr="008947D1">
        <w:rPr>
          <w:rFonts w:ascii="Bodoni MT" w:eastAsia="Calibri" w:hAnsi="Bodoni MT"/>
          <w:sz w:val="22"/>
          <w:szCs w:val="22"/>
          <w:lang w:eastAsia="en-US"/>
        </w:rPr>
        <w:t>Un point de vue plus différencié, et probablement plus proche de la réalité, consiste à dire que le droit concerne aussi les éditeurs étrangers si le contrat de publication est basé sur le droit allemand. Par ailleurs, si le contrat de publication est basé sur un droit étranger, il s’appliquerait également si dans un cas de litige un tribunal allemand était saisi.</w:t>
      </w:r>
    </w:p>
    <w:p w:rsidR="00F06B12" w:rsidRDefault="00F06B12" w:rsidP="008947D1">
      <w:pPr>
        <w:spacing w:line="240" w:lineRule="auto"/>
        <w:jc w:val="left"/>
        <w:rPr>
          <w:rFonts w:ascii="Bodoni MT" w:eastAsia="Calibri" w:hAnsi="Bodoni MT"/>
          <w:sz w:val="22"/>
          <w:szCs w:val="22"/>
          <w:lang w:eastAsia="en-US"/>
        </w:rPr>
      </w:pPr>
    </w:p>
    <w:p w:rsidR="00F06B12" w:rsidRDefault="00F06B12" w:rsidP="008947D1">
      <w:pPr>
        <w:spacing w:line="240" w:lineRule="auto"/>
        <w:jc w:val="left"/>
        <w:rPr>
          <w:rFonts w:ascii="Bodoni MT" w:eastAsia="Calibri" w:hAnsi="Bodoni MT"/>
          <w:sz w:val="22"/>
          <w:szCs w:val="22"/>
          <w:lang w:eastAsia="en-US"/>
        </w:rPr>
      </w:pPr>
      <w:r>
        <w:rPr>
          <w:rFonts w:ascii="Bodoni MT" w:eastAsia="Calibri" w:hAnsi="Bodoni MT"/>
          <w:sz w:val="22"/>
          <w:szCs w:val="22"/>
          <w:lang w:eastAsia="en-US"/>
        </w:rPr>
        <w:t>Ces considérations semblent largement transposables à la situation française.</w:t>
      </w:r>
      <w:r w:rsidR="00AD584D">
        <w:rPr>
          <w:rFonts w:ascii="Bodoni MT" w:eastAsia="Calibri" w:hAnsi="Bodoni MT"/>
          <w:sz w:val="22"/>
          <w:szCs w:val="22"/>
          <w:lang w:eastAsia="en-US"/>
        </w:rPr>
        <w:t xml:space="preserve"> </w:t>
      </w:r>
    </w:p>
    <w:p w:rsidR="000108CE" w:rsidRPr="008947D1" w:rsidRDefault="000108CE" w:rsidP="008947D1">
      <w:pPr>
        <w:spacing w:line="240" w:lineRule="auto"/>
        <w:jc w:val="left"/>
        <w:rPr>
          <w:rFonts w:ascii="Bodoni MT" w:eastAsia="Calibri" w:hAnsi="Bodoni MT"/>
          <w:sz w:val="22"/>
          <w:szCs w:val="22"/>
          <w:lang w:eastAsia="en-US"/>
        </w:rPr>
      </w:pPr>
    </w:p>
    <w:p w:rsidR="008947D1" w:rsidRPr="008947D1" w:rsidRDefault="008947D1" w:rsidP="008947D1">
      <w:pPr>
        <w:spacing w:line="240" w:lineRule="auto"/>
        <w:jc w:val="left"/>
        <w:rPr>
          <w:rFonts w:ascii="Bodoni MT" w:eastAsia="Calibri" w:hAnsi="Bodoni MT"/>
          <w:sz w:val="22"/>
          <w:szCs w:val="22"/>
          <w:lang w:eastAsia="en-US"/>
        </w:rPr>
      </w:pPr>
      <w:r w:rsidRPr="008947D1">
        <w:rPr>
          <w:rFonts w:ascii="Bodoni MT" w:eastAsia="Calibri" w:hAnsi="Bodoni MT"/>
          <w:sz w:val="22"/>
          <w:szCs w:val="22"/>
          <w:lang w:eastAsia="en-US"/>
        </w:rPr>
        <w:t>Aux Pays Bas, les utilisateurs potentiels du nouveau droit sont avertis que celui-ci ne s’applique, a priori, que dans le cadre de la loi néerlandaise et que, par conséquent, les auteurs devraient veiller à signer dans la mesure du possible leurs contrats avec les éditeurs sur la base de celle-ci.</w:t>
      </w:r>
    </w:p>
    <w:p w:rsidR="008947D1" w:rsidRPr="008947D1" w:rsidRDefault="008947D1" w:rsidP="008947D1">
      <w:pPr>
        <w:spacing w:line="240" w:lineRule="auto"/>
        <w:jc w:val="left"/>
        <w:rPr>
          <w:rFonts w:ascii="Bodoni MT" w:eastAsia="Calibri" w:hAnsi="Bodoni MT"/>
          <w:sz w:val="22"/>
          <w:szCs w:val="22"/>
          <w:lang w:eastAsia="en-US"/>
        </w:rPr>
      </w:pPr>
    </w:p>
    <w:p w:rsidR="008947D1" w:rsidRPr="008947D1" w:rsidRDefault="008947D1" w:rsidP="008947D1">
      <w:pPr>
        <w:spacing w:line="240" w:lineRule="auto"/>
        <w:jc w:val="left"/>
        <w:rPr>
          <w:rFonts w:ascii="Bodoni MT" w:eastAsia="Calibri" w:hAnsi="Bodoni MT"/>
          <w:sz w:val="22"/>
          <w:szCs w:val="22"/>
          <w:lang w:eastAsia="en-US"/>
        </w:rPr>
      </w:pPr>
      <w:r w:rsidRPr="008947D1">
        <w:rPr>
          <w:rFonts w:ascii="Bodoni MT" w:eastAsia="Calibri" w:hAnsi="Bodoni MT"/>
          <w:sz w:val="22"/>
          <w:szCs w:val="22"/>
          <w:lang w:eastAsia="en-US"/>
        </w:rPr>
        <w:t>Si le contrat de publication est basé sur un droit étranger et un tribunal étranger au sein de l’UE est saisi, il est, selon des règlements juridiques européens en vigueur</w:t>
      </w:r>
      <w:r w:rsidRPr="008947D1">
        <w:rPr>
          <w:rFonts w:ascii="Bodoni MT" w:eastAsia="Calibri" w:hAnsi="Bodoni MT"/>
          <w:sz w:val="22"/>
          <w:szCs w:val="22"/>
          <w:vertAlign w:val="superscript"/>
          <w:lang w:eastAsia="en-US"/>
        </w:rPr>
        <w:footnoteReference w:id="15"/>
      </w:r>
      <w:r w:rsidRPr="008947D1">
        <w:rPr>
          <w:rFonts w:ascii="Bodoni MT" w:eastAsia="Calibri" w:hAnsi="Bodoni MT"/>
          <w:sz w:val="22"/>
          <w:szCs w:val="22"/>
          <w:lang w:eastAsia="en-US"/>
        </w:rPr>
        <w:t xml:space="preserve">, probable </w:t>
      </w:r>
      <w:r w:rsidR="000108CE" w:rsidRPr="000108CE">
        <w:rPr>
          <w:rFonts w:ascii="Bodoni MT" w:eastAsia="Calibri" w:hAnsi="Bodoni MT"/>
          <w:sz w:val="22"/>
          <w:szCs w:val="22"/>
          <w:lang w:eastAsia="en-US"/>
        </w:rPr>
        <w:t>–</w:t>
      </w:r>
      <w:r w:rsidRPr="008947D1">
        <w:rPr>
          <w:rFonts w:ascii="Bodoni MT" w:eastAsia="Calibri" w:hAnsi="Bodoni MT"/>
          <w:sz w:val="22"/>
          <w:szCs w:val="22"/>
          <w:lang w:eastAsia="en-US"/>
        </w:rPr>
        <w:t xml:space="preserve"> mais pas certain – que le droit reste valable. Si par contre le contrat est basé sur le droit </w:t>
      </w:r>
      <w:proofErr w:type="spellStart"/>
      <w:r w:rsidRPr="008947D1">
        <w:rPr>
          <w:rFonts w:ascii="Bodoni MT" w:eastAsia="Calibri" w:hAnsi="Bodoni MT"/>
          <w:sz w:val="22"/>
          <w:szCs w:val="22"/>
          <w:lang w:eastAsia="en-US"/>
        </w:rPr>
        <w:t>US-américain</w:t>
      </w:r>
      <w:proofErr w:type="spellEnd"/>
      <w:r w:rsidRPr="008947D1">
        <w:rPr>
          <w:rFonts w:ascii="Bodoni MT" w:eastAsia="Calibri" w:hAnsi="Bodoni MT"/>
          <w:sz w:val="22"/>
          <w:szCs w:val="22"/>
          <w:lang w:eastAsia="en-US"/>
        </w:rPr>
        <w:t xml:space="preserve"> et on appelle un tribunal américain, le droit de publication secondaire ne devrait plus subsister.</w:t>
      </w:r>
    </w:p>
    <w:p w:rsidR="008947D1" w:rsidRPr="008947D1" w:rsidRDefault="008947D1" w:rsidP="008947D1">
      <w:pPr>
        <w:spacing w:line="240" w:lineRule="auto"/>
        <w:jc w:val="left"/>
        <w:rPr>
          <w:rFonts w:ascii="Bodoni MT" w:eastAsia="Calibri" w:hAnsi="Bodoni MT"/>
          <w:sz w:val="22"/>
          <w:szCs w:val="22"/>
          <w:lang w:eastAsia="en-US"/>
        </w:rPr>
      </w:pPr>
    </w:p>
    <w:p w:rsidR="008947D1" w:rsidRPr="008947D1" w:rsidRDefault="008947D1" w:rsidP="008947D1">
      <w:pPr>
        <w:spacing w:line="240" w:lineRule="auto"/>
        <w:jc w:val="left"/>
        <w:rPr>
          <w:rFonts w:ascii="Bodoni MT" w:eastAsia="Calibri" w:hAnsi="Bodoni MT"/>
          <w:sz w:val="22"/>
          <w:szCs w:val="22"/>
          <w:lang w:eastAsia="en-US"/>
        </w:rPr>
      </w:pPr>
      <w:r w:rsidRPr="008947D1">
        <w:rPr>
          <w:rFonts w:ascii="Bodoni MT" w:eastAsia="Calibri" w:hAnsi="Bodoni MT"/>
          <w:sz w:val="22"/>
          <w:szCs w:val="22"/>
          <w:lang w:eastAsia="en-US"/>
        </w:rPr>
        <w:t>Davantage de clarté pourrait être produite si jamais un des acteurs impliqués portait réellement son cas devant les tribunaux, ce qui semble peu probable à ce stade.</w:t>
      </w:r>
    </w:p>
    <w:p w:rsidR="008947D1" w:rsidRPr="008947D1" w:rsidRDefault="008947D1" w:rsidP="008947D1">
      <w:pPr>
        <w:spacing w:line="240" w:lineRule="auto"/>
        <w:jc w:val="left"/>
        <w:rPr>
          <w:rFonts w:ascii="Bodoni MT" w:eastAsia="Calibri" w:hAnsi="Bodoni MT"/>
          <w:sz w:val="22"/>
          <w:szCs w:val="22"/>
          <w:lang w:eastAsia="en-US"/>
        </w:rPr>
      </w:pP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En Suisse, avant même qu’un processus législatif soit amorcé, la question de la validité juridique d’un futur droit (espéré) de publication secondaire est anticipée : les groupes de lobbying en faveur d’un tel droit recommandent aux politiques de le qualifier d’ores et déjà comme « loi d’application immédiate », dispositif juridique suisse permettant d’appliquer dans des cas exceptionnels d’intérêt public le droit national, même dans une situation où en principe un droit étranger prévaut.</w:t>
      </w:r>
    </w:p>
    <w:p w:rsidR="008947D1" w:rsidRPr="00A461EB" w:rsidRDefault="008947D1" w:rsidP="008947D1">
      <w:pPr>
        <w:spacing w:after="160" w:line="259" w:lineRule="auto"/>
        <w:jc w:val="left"/>
        <w:rPr>
          <w:rFonts w:ascii="Bodoni MT" w:eastAsia="Calibri" w:hAnsi="Bodoni MT"/>
          <w:b/>
          <w:sz w:val="24"/>
          <w:szCs w:val="24"/>
          <w:lang w:eastAsia="en-US"/>
        </w:rPr>
      </w:pPr>
    </w:p>
    <w:p w:rsidR="008947D1" w:rsidRPr="008947D1" w:rsidRDefault="008947D1" w:rsidP="008947D1">
      <w:pPr>
        <w:spacing w:after="160" w:line="259" w:lineRule="auto"/>
        <w:jc w:val="left"/>
        <w:rPr>
          <w:rFonts w:ascii="Bodoni MT" w:eastAsia="Calibri" w:hAnsi="Bodoni MT"/>
          <w:b/>
          <w:sz w:val="24"/>
          <w:szCs w:val="24"/>
          <w:lang w:eastAsia="en-US"/>
        </w:rPr>
      </w:pPr>
      <w:r w:rsidRPr="008947D1">
        <w:rPr>
          <w:rFonts w:ascii="Bodoni MT" w:eastAsia="Calibri" w:hAnsi="Bodoni MT"/>
          <w:b/>
          <w:sz w:val="24"/>
          <w:szCs w:val="24"/>
          <w:lang w:eastAsia="en-US"/>
        </w:rPr>
        <w:t xml:space="preserve">L’accompagnement </w:t>
      </w:r>
      <w:r w:rsidR="00B91EA8">
        <w:rPr>
          <w:rFonts w:ascii="Bodoni MT" w:eastAsia="Calibri" w:hAnsi="Bodoni MT"/>
          <w:b/>
          <w:sz w:val="24"/>
          <w:szCs w:val="24"/>
          <w:lang w:eastAsia="en-US"/>
        </w:rPr>
        <w:t>par les professionnels de l’information</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Les bibliothèques et professionnels de l’information aujourd’hui engagés dans la mise en place d’archives institutionnelles et l’organisation du dépôt dans ces archives auront un rôle supplémentaire dans ce nouveau cadre : sensibiliser les auteurs aux droits qu’ils possèdent désormais et aider à organiser avec eux la « publication secondaire ». Cet accompagnement peut prendre différentes formes, mais principalement celle d’un accord entre l’auteur et l’organisme qui opère l’archive ouverte dans laquelle l’article est déposé (et rendu publique dès que c’est permis par la loi).</w:t>
      </w:r>
    </w:p>
    <w:p w:rsidR="008947D1" w:rsidRPr="008947D1"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Un tel accord devrait être formalisé </w:t>
      </w:r>
      <w:r w:rsidR="0077310D" w:rsidRPr="0077310D">
        <w:rPr>
          <w:rFonts w:ascii="Bodoni MT" w:eastAsia="Calibri" w:hAnsi="Bodoni MT"/>
          <w:sz w:val="22"/>
          <w:szCs w:val="22"/>
          <w:lang w:eastAsia="en-US"/>
        </w:rPr>
        <w:t>–</w:t>
      </w:r>
      <w:r w:rsidRPr="008947D1">
        <w:rPr>
          <w:rFonts w:ascii="Bodoni MT" w:eastAsia="Calibri" w:hAnsi="Bodoni MT"/>
          <w:sz w:val="22"/>
          <w:szCs w:val="22"/>
          <w:lang w:eastAsia="en-US"/>
        </w:rPr>
        <w:t>- un modèle de convention est d’ailleurs disponible sur internet pour le droit allemand</w:t>
      </w:r>
      <w:r w:rsidRPr="008947D1">
        <w:rPr>
          <w:rFonts w:ascii="Bodoni MT" w:eastAsia="Calibri" w:hAnsi="Bodoni MT"/>
          <w:sz w:val="22"/>
          <w:szCs w:val="22"/>
          <w:vertAlign w:val="superscript"/>
          <w:lang w:eastAsia="en-US"/>
        </w:rPr>
        <w:footnoteReference w:id="16"/>
      </w:r>
      <w:r w:rsidRPr="008947D1">
        <w:rPr>
          <w:rFonts w:ascii="Bodoni MT" w:eastAsia="Calibri" w:hAnsi="Bodoni MT"/>
          <w:sz w:val="22"/>
          <w:szCs w:val="22"/>
          <w:lang w:eastAsia="en-US"/>
        </w:rPr>
        <w:t xml:space="preserve"> – et devrait de préférence être signé dès la publication de l’article, laissant à l’archive le soin de mettre en ligne, le moment venu, le texte intégral</w:t>
      </w:r>
      <w:r w:rsidR="00B15A48">
        <w:rPr>
          <w:rFonts w:ascii="Bodoni MT" w:eastAsia="Calibri" w:hAnsi="Bodoni MT"/>
          <w:sz w:val="22"/>
          <w:szCs w:val="22"/>
          <w:lang w:eastAsia="en-US"/>
        </w:rPr>
        <w:t>. L</w:t>
      </w:r>
      <w:r w:rsidR="008022F0">
        <w:rPr>
          <w:rFonts w:ascii="Bodoni MT" w:eastAsia="Calibri" w:hAnsi="Bodoni MT"/>
          <w:sz w:val="22"/>
          <w:szCs w:val="22"/>
          <w:lang w:eastAsia="en-US"/>
        </w:rPr>
        <w:t>’établissement d’un</w:t>
      </w:r>
      <w:r w:rsidR="00B15A48">
        <w:rPr>
          <w:rFonts w:ascii="Bodoni MT" w:eastAsia="Calibri" w:hAnsi="Bodoni MT"/>
          <w:sz w:val="22"/>
          <w:szCs w:val="22"/>
          <w:lang w:eastAsia="en-US"/>
        </w:rPr>
        <w:t xml:space="preserve"> principe d</w:t>
      </w:r>
      <w:r w:rsidR="008022F0">
        <w:rPr>
          <w:rFonts w:ascii="Bodoni MT" w:eastAsia="Calibri" w:hAnsi="Bodoni MT"/>
          <w:sz w:val="22"/>
          <w:szCs w:val="22"/>
          <w:lang w:eastAsia="en-US"/>
        </w:rPr>
        <w:t>e</w:t>
      </w:r>
      <w:r w:rsidR="00B15A48">
        <w:rPr>
          <w:rFonts w:ascii="Bodoni MT" w:eastAsia="Calibri" w:hAnsi="Bodoni MT"/>
          <w:sz w:val="22"/>
          <w:szCs w:val="22"/>
          <w:lang w:eastAsia="en-US"/>
        </w:rPr>
        <w:t xml:space="preserve"> dépôt immédiat – </w:t>
      </w:r>
      <w:r w:rsidR="0094625B">
        <w:rPr>
          <w:rFonts w:ascii="Bodoni MT" w:eastAsia="Calibri" w:hAnsi="Bodoni MT"/>
          <w:sz w:val="22"/>
          <w:szCs w:val="22"/>
          <w:lang w:eastAsia="en-US"/>
        </w:rPr>
        <w:t>à</w:t>
      </w:r>
      <w:r w:rsidR="00B15A48">
        <w:rPr>
          <w:rFonts w:ascii="Bodoni MT" w:eastAsia="Calibri" w:hAnsi="Bodoni MT"/>
          <w:sz w:val="22"/>
          <w:szCs w:val="22"/>
          <w:lang w:eastAsia="en-US"/>
        </w:rPr>
        <w:t xml:space="preserve"> l’image du règlement </w:t>
      </w:r>
      <w:r w:rsidR="0094625B">
        <w:rPr>
          <w:rFonts w:ascii="Bodoni MT" w:eastAsia="Calibri" w:hAnsi="Bodoni MT"/>
          <w:sz w:val="22"/>
          <w:szCs w:val="22"/>
          <w:lang w:eastAsia="en-US"/>
        </w:rPr>
        <w:t>existant dans le programme H2020</w:t>
      </w:r>
      <w:r w:rsidR="00B15A48">
        <w:rPr>
          <w:rFonts w:ascii="Bodoni MT" w:eastAsia="Calibri" w:hAnsi="Bodoni MT"/>
          <w:sz w:val="22"/>
          <w:szCs w:val="22"/>
          <w:lang w:eastAsia="en-US"/>
        </w:rPr>
        <w:t xml:space="preserve"> – ne peut être </w:t>
      </w:r>
      <w:r w:rsidR="0077310D">
        <w:rPr>
          <w:rFonts w:ascii="Bodoni MT" w:eastAsia="Calibri" w:hAnsi="Bodoni MT"/>
          <w:sz w:val="22"/>
          <w:szCs w:val="22"/>
          <w:lang w:eastAsia="en-US"/>
        </w:rPr>
        <w:t xml:space="preserve">que </w:t>
      </w:r>
      <w:r w:rsidR="00B15A48">
        <w:rPr>
          <w:rFonts w:ascii="Bodoni MT" w:eastAsia="Calibri" w:hAnsi="Bodoni MT"/>
          <w:sz w:val="22"/>
          <w:szCs w:val="22"/>
          <w:lang w:eastAsia="en-US"/>
        </w:rPr>
        <w:t xml:space="preserve">bénéfique pour </w:t>
      </w:r>
      <w:r w:rsidR="008022F0">
        <w:rPr>
          <w:rFonts w:ascii="Bodoni MT" w:eastAsia="Calibri" w:hAnsi="Bodoni MT"/>
          <w:sz w:val="22"/>
          <w:szCs w:val="22"/>
          <w:lang w:eastAsia="en-US"/>
        </w:rPr>
        <w:t>l’adoption du droit.</w:t>
      </w:r>
    </w:p>
    <w:p w:rsidR="002968D0" w:rsidRDefault="008947D1" w:rsidP="008947D1">
      <w:pPr>
        <w:spacing w:after="160" w:line="259" w:lineRule="auto"/>
        <w:jc w:val="left"/>
        <w:rPr>
          <w:rFonts w:ascii="Bodoni MT" w:eastAsia="Calibri" w:hAnsi="Bodoni MT"/>
          <w:sz w:val="22"/>
          <w:szCs w:val="22"/>
          <w:lang w:eastAsia="en-US"/>
        </w:rPr>
      </w:pPr>
      <w:r w:rsidRPr="008947D1">
        <w:rPr>
          <w:rFonts w:ascii="Bodoni MT" w:eastAsia="Calibri" w:hAnsi="Bodoni MT"/>
          <w:sz w:val="22"/>
          <w:szCs w:val="22"/>
          <w:lang w:eastAsia="en-US"/>
        </w:rPr>
        <w:t xml:space="preserve">Certaines bibliothèques allemandes ont, depuis l’entrée en vigueur de la loi et notamment au bout des premiers 12 mois, organisé des campagnes de sensibilisation pour rappeler son existence et les services d’accompagnement proposés. </w:t>
      </w:r>
    </w:p>
    <w:p w:rsidR="00240B4E" w:rsidRDefault="006831C1" w:rsidP="006831C1">
      <w:pPr>
        <w:spacing w:after="160" w:line="259" w:lineRule="auto"/>
        <w:jc w:val="left"/>
        <w:rPr>
          <w:rFonts w:ascii="Bodoni MT" w:eastAsia="Calibri" w:hAnsi="Bodoni MT"/>
          <w:sz w:val="22"/>
          <w:szCs w:val="22"/>
          <w:lang w:eastAsia="en-US"/>
        </w:rPr>
      </w:pPr>
      <w:r>
        <w:rPr>
          <w:rFonts w:ascii="Bodoni MT" w:eastAsia="Calibri" w:hAnsi="Bodoni MT"/>
          <w:sz w:val="22"/>
          <w:szCs w:val="22"/>
          <w:lang w:eastAsia="en-US"/>
        </w:rPr>
        <w:t xml:space="preserve">En France, la forte mobilisation des communautés IST lors de la préparation de la loi numérique devrait trouver son pendant dans la phase de sa mise en pratique. </w:t>
      </w:r>
      <w:r w:rsidR="00ED09F1">
        <w:rPr>
          <w:rFonts w:ascii="Bodoni MT" w:eastAsia="Calibri" w:hAnsi="Bodoni MT"/>
          <w:sz w:val="22"/>
          <w:szCs w:val="22"/>
          <w:lang w:eastAsia="en-US"/>
        </w:rPr>
        <w:t>Ainsi, d</w:t>
      </w:r>
      <w:r>
        <w:rPr>
          <w:rFonts w:ascii="Bodoni MT" w:eastAsia="Calibri" w:hAnsi="Bodoni MT"/>
          <w:sz w:val="22"/>
          <w:szCs w:val="22"/>
          <w:lang w:eastAsia="en-US"/>
        </w:rPr>
        <w:t>ès le lendemain de l’adoption définitive de la loi un appel «</w:t>
      </w:r>
      <w:r w:rsidR="006916A2">
        <w:rPr>
          <w:rFonts w:ascii="Bodoni MT" w:eastAsia="Calibri" w:hAnsi="Bodoni MT"/>
          <w:sz w:val="22"/>
          <w:szCs w:val="22"/>
          <w:lang w:eastAsia="en-US"/>
        </w:rPr>
        <w:t xml:space="preserve"> </w:t>
      </w:r>
      <w:r w:rsidRPr="006831C1">
        <w:rPr>
          <w:rFonts w:ascii="Bodoni MT" w:eastAsia="Calibri" w:hAnsi="Bodoni MT"/>
          <w:sz w:val="22"/>
          <w:szCs w:val="22"/>
          <w:lang w:eastAsia="en-US"/>
        </w:rPr>
        <w:t>Il ne nous reste plus qu'à essayer d'appliquer au quotidien les deux articles concernant l'accès ouvert</w:t>
      </w:r>
      <w:r>
        <w:rPr>
          <w:rFonts w:ascii="Bodoni MT" w:eastAsia="Calibri" w:hAnsi="Bodoni MT"/>
          <w:sz w:val="22"/>
          <w:szCs w:val="22"/>
          <w:lang w:eastAsia="en-US"/>
        </w:rPr>
        <w:t> » a été lancé sur la liste de discussion « </w:t>
      </w:r>
      <w:proofErr w:type="spellStart"/>
      <w:r>
        <w:rPr>
          <w:rFonts w:ascii="Bodoni MT" w:eastAsia="Calibri" w:hAnsi="Bodoni MT"/>
          <w:sz w:val="22"/>
          <w:szCs w:val="22"/>
          <w:lang w:eastAsia="en-US"/>
        </w:rPr>
        <w:t>acc</w:t>
      </w:r>
      <w:r w:rsidR="00A05BD6">
        <w:rPr>
          <w:rFonts w:ascii="Bodoni MT" w:eastAsia="Calibri" w:hAnsi="Bodoni MT"/>
          <w:sz w:val="22"/>
          <w:szCs w:val="22"/>
          <w:lang w:eastAsia="en-US"/>
        </w:rPr>
        <w:t>e</w:t>
      </w:r>
      <w:r>
        <w:rPr>
          <w:rFonts w:ascii="Bodoni MT" w:eastAsia="Calibri" w:hAnsi="Bodoni MT"/>
          <w:sz w:val="22"/>
          <w:szCs w:val="22"/>
          <w:lang w:eastAsia="en-US"/>
        </w:rPr>
        <w:t>souvert</w:t>
      </w:r>
      <w:proofErr w:type="spellEnd"/>
      <w:r>
        <w:rPr>
          <w:rFonts w:ascii="Bodoni MT" w:eastAsia="Calibri" w:hAnsi="Bodoni MT"/>
          <w:sz w:val="22"/>
          <w:szCs w:val="22"/>
          <w:lang w:eastAsia="en-US"/>
        </w:rPr>
        <w:t xml:space="preserve"> ». </w:t>
      </w:r>
      <w:r w:rsidR="0035496E">
        <w:rPr>
          <w:rFonts w:ascii="Bodoni MT" w:eastAsia="Calibri" w:hAnsi="Bodoni MT"/>
          <w:sz w:val="22"/>
          <w:szCs w:val="22"/>
          <w:lang w:eastAsia="en-US"/>
        </w:rPr>
        <w:t>Dans un premier temps, il s’agit de maintenir le niveau de lobbying pendant l’établissement des d</w:t>
      </w:r>
      <w:r w:rsidR="00A34EA0">
        <w:rPr>
          <w:rFonts w:ascii="Bodoni MT" w:eastAsia="Calibri" w:hAnsi="Bodoni MT"/>
          <w:sz w:val="22"/>
          <w:szCs w:val="22"/>
          <w:lang w:eastAsia="en-US"/>
        </w:rPr>
        <w:t>é</w:t>
      </w:r>
      <w:r w:rsidR="0035496E">
        <w:rPr>
          <w:rFonts w:ascii="Bodoni MT" w:eastAsia="Calibri" w:hAnsi="Bodoni MT"/>
          <w:sz w:val="22"/>
          <w:szCs w:val="22"/>
          <w:lang w:eastAsia="en-US"/>
        </w:rPr>
        <w:t xml:space="preserve">crets </w:t>
      </w:r>
      <w:r w:rsidR="00F53BCB">
        <w:rPr>
          <w:rFonts w:ascii="Bodoni MT" w:eastAsia="Calibri" w:hAnsi="Bodoni MT"/>
          <w:sz w:val="22"/>
          <w:szCs w:val="22"/>
          <w:lang w:eastAsia="en-US"/>
        </w:rPr>
        <w:t xml:space="preserve">et modalités </w:t>
      </w:r>
      <w:r w:rsidR="0035496E">
        <w:rPr>
          <w:rFonts w:ascii="Bodoni MT" w:eastAsia="Calibri" w:hAnsi="Bodoni MT"/>
          <w:sz w:val="22"/>
          <w:szCs w:val="22"/>
          <w:lang w:eastAsia="en-US"/>
        </w:rPr>
        <w:t xml:space="preserve">d’application </w:t>
      </w:r>
      <w:r w:rsidR="00A05BD6">
        <w:rPr>
          <w:rFonts w:ascii="Bodoni MT" w:eastAsia="Calibri" w:hAnsi="Bodoni MT"/>
          <w:sz w:val="22"/>
          <w:szCs w:val="22"/>
          <w:lang w:eastAsia="en-US"/>
        </w:rPr>
        <w:t>qui complètent le texte de loi.</w:t>
      </w:r>
      <w:r w:rsidR="0035496E">
        <w:rPr>
          <w:rFonts w:ascii="Bodoni MT" w:eastAsia="Calibri" w:hAnsi="Bodoni MT"/>
          <w:sz w:val="22"/>
          <w:szCs w:val="22"/>
          <w:lang w:eastAsia="en-US"/>
        </w:rPr>
        <w:t xml:space="preserve"> </w:t>
      </w:r>
    </w:p>
    <w:p w:rsidR="0035496E" w:rsidRDefault="0012242C" w:rsidP="006831C1">
      <w:pPr>
        <w:spacing w:after="160" w:line="259" w:lineRule="auto"/>
        <w:jc w:val="left"/>
        <w:rPr>
          <w:rFonts w:ascii="Bodoni MT" w:eastAsia="Calibri" w:hAnsi="Bodoni MT"/>
          <w:sz w:val="22"/>
          <w:szCs w:val="22"/>
          <w:lang w:eastAsia="en-US"/>
        </w:rPr>
      </w:pPr>
      <w:r>
        <w:rPr>
          <w:rFonts w:ascii="Bodoni MT" w:eastAsia="Calibri" w:hAnsi="Bodoni MT"/>
          <w:sz w:val="22"/>
          <w:szCs w:val="22"/>
          <w:lang w:eastAsia="en-US"/>
        </w:rPr>
        <w:t>C’est encore la DIST du CNRS</w:t>
      </w:r>
      <w:r w:rsidR="000029C9">
        <w:rPr>
          <w:rFonts w:ascii="Bodoni MT" w:eastAsia="Calibri" w:hAnsi="Bodoni MT"/>
          <w:sz w:val="22"/>
          <w:szCs w:val="22"/>
          <w:lang w:eastAsia="en-US"/>
        </w:rPr>
        <w:t xml:space="preserve">, à travers la publication d’un ‘Guide stratégique’ (CNRS-DIST, 2016), </w:t>
      </w:r>
      <w:r w:rsidR="00200A56">
        <w:rPr>
          <w:rFonts w:ascii="Bodoni MT" w:eastAsia="Calibri" w:hAnsi="Bodoni MT"/>
          <w:sz w:val="22"/>
          <w:szCs w:val="22"/>
          <w:lang w:eastAsia="en-US"/>
        </w:rPr>
        <w:t>qui assume ici un rôle de leadership.</w:t>
      </w:r>
      <w:r w:rsidR="000029C9">
        <w:rPr>
          <w:rFonts w:ascii="Bodoni MT" w:eastAsia="Calibri" w:hAnsi="Bodoni MT"/>
          <w:sz w:val="22"/>
          <w:szCs w:val="22"/>
          <w:lang w:eastAsia="en-US"/>
        </w:rPr>
        <w:t xml:space="preserve"> Ce guide </w:t>
      </w:r>
      <w:r w:rsidR="00200A56">
        <w:rPr>
          <w:rFonts w:ascii="Bodoni MT" w:eastAsia="Calibri" w:hAnsi="Bodoni MT"/>
          <w:sz w:val="22"/>
          <w:szCs w:val="22"/>
          <w:lang w:eastAsia="en-US"/>
        </w:rPr>
        <w:t>détaillé</w:t>
      </w:r>
      <w:r w:rsidR="00200A56">
        <w:rPr>
          <w:rStyle w:val="Appelnotedebasdep"/>
          <w:rFonts w:ascii="Bodoni MT" w:eastAsia="Calibri" w:hAnsi="Bodoni MT"/>
          <w:sz w:val="22"/>
          <w:szCs w:val="22"/>
          <w:lang w:eastAsia="en-US"/>
        </w:rPr>
        <w:footnoteReference w:id="17"/>
      </w:r>
      <w:r w:rsidR="00200A56">
        <w:rPr>
          <w:rFonts w:ascii="Bodoni MT" w:eastAsia="Calibri" w:hAnsi="Bodoni MT"/>
          <w:sz w:val="22"/>
          <w:szCs w:val="22"/>
          <w:lang w:eastAsia="en-US"/>
        </w:rPr>
        <w:t xml:space="preserve"> </w:t>
      </w:r>
      <w:r w:rsidR="000029C9">
        <w:rPr>
          <w:rFonts w:ascii="Bodoni MT" w:eastAsia="Calibri" w:hAnsi="Bodoni MT"/>
          <w:sz w:val="22"/>
          <w:szCs w:val="22"/>
          <w:lang w:eastAsia="en-US"/>
        </w:rPr>
        <w:t xml:space="preserve">propose en particulier la création d’un référentiel des usages, contenant une nomenclature et une clarification de termes tels que « version finale de manuscrit » </w:t>
      </w:r>
      <w:r w:rsidR="00240B4E">
        <w:rPr>
          <w:rFonts w:ascii="Bodoni MT" w:eastAsia="Calibri" w:hAnsi="Bodoni MT"/>
          <w:sz w:val="22"/>
          <w:szCs w:val="22"/>
          <w:lang w:eastAsia="en-US"/>
        </w:rPr>
        <w:t>figurant</w:t>
      </w:r>
      <w:r w:rsidR="000029C9">
        <w:rPr>
          <w:rFonts w:ascii="Bodoni MT" w:eastAsia="Calibri" w:hAnsi="Bodoni MT"/>
          <w:sz w:val="22"/>
          <w:szCs w:val="22"/>
          <w:lang w:eastAsia="en-US"/>
        </w:rPr>
        <w:t xml:space="preserve"> dans le</w:t>
      </w:r>
      <w:r w:rsidR="00240B4E">
        <w:rPr>
          <w:rFonts w:ascii="Bodoni MT" w:eastAsia="Calibri" w:hAnsi="Bodoni MT"/>
          <w:sz w:val="22"/>
          <w:szCs w:val="22"/>
          <w:lang w:eastAsia="en-US"/>
        </w:rPr>
        <w:t>s</w:t>
      </w:r>
      <w:r w:rsidR="000029C9">
        <w:rPr>
          <w:rFonts w:ascii="Bodoni MT" w:eastAsia="Calibri" w:hAnsi="Bodoni MT"/>
          <w:sz w:val="22"/>
          <w:szCs w:val="22"/>
          <w:lang w:eastAsia="en-US"/>
        </w:rPr>
        <w:t xml:space="preserve"> texte</w:t>
      </w:r>
      <w:r w:rsidR="00240B4E">
        <w:rPr>
          <w:rFonts w:ascii="Bodoni MT" w:eastAsia="Calibri" w:hAnsi="Bodoni MT"/>
          <w:sz w:val="22"/>
          <w:szCs w:val="22"/>
          <w:lang w:eastAsia="en-US"/>
        </w:rPr>
        <w:t>s</w:t>
      </w:r>
      <w:r w:rsidR="000029C9">
        <w:rPr>
          <w:rFonts w:ascii="Bodoni MT" w:eastAsia="Calibri" w:hAnsi="Bodoni MT"/>
          <w:sz w:val="22"/>
          <w:szCs w:val="22"/>
          <w:lang w:eastAsia="en-US"/>
        </w:rPr>
        <w:t>, et notamment dans l’article 30, de la loi</w:t>
      </w:r>
      <w:r w:rsidR="00240B4E">
        <w:rPr>
          <w:rFonts w:ascii="Bodoni MT" w:eastAsia="Calibri" w:hAnsi="Bodoni MT"/>
          <w:sz w:val="22"/>
          <w:szCs w:val="22"/>
          <w:lang w:eastAsia="en-US"/>
        </w:rPr>
        <w:t xml:space="preserve">. On suggère également la mise en place d’un contrat-type </w:t>
      </w:r>
      <w:r w:rsidR="007C2B87">
        <w:rPr>
          <w:rFonts w:ascii="Bodoni MT" w:eastAsia="Calibri" w:hAnsi="Bodoni MT"/>
          <w:sz w:val="22"/>
          <w:szCs w:val="22"/>
          <w:lang w:eastAsia="en-US"/>
        </w:rPr>
        <w:t xml:space="preserve">entre auteurs et éditeurs permettant de s’assurer de l’absence </w:t>
      </w:r>
      <w:r w:rsidR="00240B4E">
        <w:rPr>
          <w:rFonts w:ascii="Bodoni MT" w:eastAsia="Calibri" w:hAnsi="Bodoni MT"/>
          <w:sz w:val="22"/>
          <w:szCs w:val="22"/>
          <w:lang w:eastAsia="en-US"/>
        </w:rPr>
        <w:t xml:space="preserve">de cession de droits </w:t>
      </w:r>
      <w:r w:rsidR="007C2B87">
        <w:rPr>
          <w:rFonts w:ascii="Bodoni MT" w:eastAsia="Calibri" w:hAnsi="Bodoni MT"/>
          <w:sz w:val="22"/>
          <w:szCs w:val="22"/>
          <w:lang w:eastAsia="en-US"/>
        </w:rPr>
        <w:t>à titre exclusif</w:t>
      </w:r>
      <w:r w:rsidR="00240B4E">
        <w:rPr>
          <w:rFonts w:ascii="Bodoni MT" w:eastAsia="Calibri" w:hAnsi="Bodoni MT"/>
          <w:sz w:val="22"/>
          <w:szCs w:val="22"/>
          <w:lang w:eastAsia="en-US"/>
        </w:rPr>
        <w:t xml:space="preserve">, tenant </w:t>
      </w:r>
      <w:r w:rsidR="007C2B87">
        <w:rPr>
          <w:rFonts w:ascii="Bodoni MT" w:eastAsia="Calibri" w:hAnsi="Bodoni MT"/>
          <w:sz w:val="22"/>
          <w:szCs w:val="22"/>
          <w:lang w:eastAsia="en-US"/>
        </w:rPr>
        <w:t xml:space="preserve">ainsi </w:t>
      </w:r>
      <w:r w:rsidR="00240B4E">
        <w:rPr>
          <w:rFonts w:ascii="Bodoni MT" w:eastAsia="Calibri" w:hAnsi="Bodoni MT"/>
          <w:sz w:val="22"/>
          <w:szCs w:val="22"/>
          <w:lang w:eastAsia="en-US"/>
        </w:rPr>
        <w:t>compte de la nouvelle situation créée par la loi</w:t>
      </w:r>
      <w:r w:rsidR="007C2B87">
        <w:rPr>
          <w:rFonts w:ascii="Bodoni MT" w:eastAsia="Calibri" w:hAnsi="Bodoni MT"/>
          <w:sz w:val="22"/>
          <w:szCs w:val="22"/>
          <w:lang w:eastAsia="en-US"/>
        </w:rPr>
        <w:t>. Ce contrat</w:t>
      </w:r>
      <w:r w:rsidR="00AC4BBA">
        <w:rPr>
          <w:rFonts w:ascii="Bodoni MT" w:eastAsia="Calibri" w:hAnsi="Bodoni MT"/>
          <w:sz w:val="22"/>
          <w:szCs w:val="22"/>
          <w:lang w:eastAsia="en-US"/>
        </w:rPr>
        <w:t>-type</w:t>
      </w:r>
      <w:r w:rsidR="007C2B87">
        <w:rPr>
          <w:rFonts w:ascii="Bodoni MT" w:eastAsia="Calibri" w:hAnsi="Bodoni MT"/>
          <w:sz w:val="22"/>
          <w:szCs w:val="22"/>
          <w:lang w:eastAsia="en-US"/>
        </w:rPr>
        <w:t xml:space="preserve"> pourrait</w:t>
      </w:r>
      <w:r w:rsidR="00240B4E">
        <w:rPr>
          <w:rFonts w:ascii="Bodoni MT" w:eastAsia="Calibri" w:hAnsi="Bodoni MT"/>
          <w:sz w:val="22"/>
          <w:szCs w:val="22"/>
          <w:lang w:eastAsia="en-US"/>
        </w:rPr>
        <w:t xml:space="preserve"> faire l’objet d’un décret. </w:t>
      </w:r>
    </w:p>
    <w:p w:rsidR="002F55AB" w:rsidRDefault="002F55AB" w:rsidP="008947D1">
      <w:pPr>
        <w:spacing w:after="160" w:line="259" w:lineRule="auto"/>
        <w:jc w:val="left"/>
        <w:rPr>
          <w:rFonts w:ascii="Bodoni MT" w:eastAsia="Calibri" w:hAnsi="Bodoni MT"/>
          <w:sz w:val="22"/>
          <w:szCs w:val="22"/>
          <w:lang w:eastAsia="en-US"/>
        </w:rPr>
      </w:pPr>
    </w:p>
    <w:p w:rsidR="002968D0" w:rsidRDefault="00E8188A" w:rsidP="008947D1">
      <w:pPr>
        <w:spacing w:after="160" w:line="259" w:lineRule="auto"/>
        <w:jc w:val="left"/>
        <w:rPr>
          <w:rFonts w:ascii="Bodoni MT" w:eastAsia="Calibri" w:hAnsi="Bodoni MT"/>
          <w:sz w:val="22"/>
          <w:szCs w:val="22"/>
          <w:lang w:eastAsia="en-US"/>
        </w:rPr>
      </w:pPr>
      <w:r w:rsidRPr="00376B7C">
        <w:rPr>
          <w:rFonts w:ascii="Bodoni MT" w:eastAsia="Calibri" w:hAnsi="Bodoni MT"/>
          <w:sz w:val="22"/>
          <w:szCs w:val="22"/>
          <w:lang w:eastAsia="en-US"/>
        </w:rPr>
        <w:t>A priori il reviendrait aussi aux professionnels de l’information, et notamment aux responsables des archives ouvertes, de contribuer à mesurer l’adoption du nouveau droit en fournissant des chiffres. Des témoignages allemands (l’Allemagne étant pour l’instant le seul pays susceptible de disposer de données) montrent que ceci s’avère difficile. Il semble en effet compliqué de déterminer dans quel cadre règlementaire</w:t>
      </w:r>
      <w:r w:rsidR="00376B7C" w:rsidRPr="00376B7C">
        <w:rPr>
          <w:rFonts w:ascii="Bodoni MT" w:eastAsia="Calibri" w:hAnsi="Bodoni MT"/>
          <w:sz w:val="22"/>
          <w:szCs w:val="22"/>
          <w:lang w:eastAsia="en-US"/>
        </w:rPr>
        <w:t xml:space="preserve"> (droit légal, droit accordé par un éditeur), et, dans</w:t>
      </w:r>
      <w:r w:rsidR="00376B7C">
        <w:rPr>
          <w:rFonts w:ascii="Bodoni MT" w:eastAsia="Calibri" w:hAnsi="Bodoni MT"/>
          <w:sz w:val="22"/>
          <w:szCs w:val="22"/>
          <w:lang w:eastAsia="en-US"/>
        </w:rPr>
        <w:t xml:space="preserve"> le</w:t>
      </w:r>
      <w:r w:rsidR="00376B7C" w:rsidRPr="00376B7C">
        <w:rPr>
          <w:rFonts w:ascii="Bodoni MT" w:eastAsia="Calibri" w:hAnsi="Bodoni MT"/>
          <w:sz w:val="22"/>
          <w:szCs w:val="22"/>
          <w:lang w:eastAsia="en-US"/>
        </w:rPr>
        <w:t xml:space="preserve"> cas allemand, sur la base de quelle interprétation de la loi (voir ci-dessus), </w:t>
      </w:r>
      <w:r w:rsidRPr="00376B7C">
        <w:rPr>
          <w:rFonts w:ascii="Bodoni MT" w:eastAsia="Calibri" w:hAnsi="Bodoni MT"/>
          <w:sz w:val="22"/>
          <w:szCs w:val="22"/>
          <w:lang w:eastAsia="en-US"/>
        </w:rPr>
        <w:t xml:space="preserve">un dépôt dans une archive </w:t>
      </w:r>
      <w:r w:rsidR="00376B7C" w:rsidRPr="00376B7C">
        <w:rPr>
          <w:rFonts w:ascii="Bodoni MT" w:eastAsia="Calibri" w:hAnsi="Bodoni MT"/>
          <w:sz w:val="22"/>
          <w:szCs w:val="22"/>
          <w:lang w:eastAsia="en-US"/>
        </w:rPr>
        <w:t>a été effectué.</w:t>
      </w:r>
    </w:p>
    <w:p w:rsidR="00376B7C" w:rsidRDefault="00F71356" w:rsidP="008947D1">
      <w:pPr>
        <w:spacing w:after="160" w:line="259" w:lineRule="auto"/>
        <w:jc w:val="left"/>
        <w:rPr>
          <w:rFonts w:ascii="Bodoni MT" w:eastAsia="Calibri" w:hAnsi="Bodoni MT"/>
          <w:sz w:val="22"/>
          <w:szCs w:val="22"/>
          <w:lang w:eastAsia="en-US"/>
        </w:rPr>
      </w:pPr>
      <w:r>
        <w:rPr>
          <w:rFonts w:ascii="Bodoni MT" w:eastAsia="Calibri" w:hAnsi="Bodoni MT"/>
          <w:sz w:val="22"/>
          <w:szCs w:val="22"/>
          <w:lang w:eastAsia="en-US"/>
        </w:rPr>
        <w:t xml:space="preserve">Mais pour mieux connaître l’impact du changement de la loi sur le droit d’auteur qu’il a fait voter, le législateur ne fera pas l’économie d’une méthodologie </w:t>
      </w:r>
      <w:r w:rsidR="004F3509">
        <w:rPr>
          <w:rFonts w:ascii="Bodoni MT" w:eastAsia="Calibri" w:hAnsi="Bodoni MT"/>
          <w:sz w:val="22"/>
          <w:szCs w:val="22"/>
          <w:lang w:eastAsia="en-US"/>
        </w:rPr>
        <w:t xml:space="preserve">adaptée </w:t>
      </w:r>
      <w:r>
        <w:rPr>
          <w:rFonts w:ascii="Bodoni MT" w:eastAsia="Calibri" w:hAnsi="Bodoni MT"/>
          <w:sz w:val="22"/>
          <w:szCs w:val="22"/>
          <w:lang w:eastAsia="en-US"/>
        </w:rPr>
        <w:t xml:space="preserve">pour obtenir les chiffres en question. </w:t>
      </w:r>
    </w:p>
    <w:p w:rsidR="004F3509" w:rsidRPr="00376B7C" w:rsidRDefault="004F3509" w:rsidP="008947D1">
      <w:pPr>
        <w:spacing w:after="160" w:line="259" w:lineRule="auto"/>
        <w:jc w:val="left"/>
        <w:rPr>
          <w:rFonts w:ascii="Bodoni MT" w:eastAsia="Calibri" w:hAnsi="Bodoni MT"/>
          <w:sz w:val="22"/>
          <w:szCs w:val="22"/>
          <w:lang w:eastAsia="en-US"/>
        </w:rPr>
      </w:pPr>
    </w:p>
    <w:p w:rsidR="00A461EB" w:rsidRPr="00A461EB" w:rsidRDefault="00A461EB" w:rsidP="00A461EB">
      <w:pPr>
        <w:spacing w:after="160" w:line="259" w:lineRule="auto"/>
        <w:jc w:val="left"/>
        <w:rPr>
          <w:rFonts w:ascii="Bodoni MT" w:eastAsia="Calibri" w:hAnsi="Bodoni MT"/>
          <w:b/>
          <w:sz w:val="24"/>
          <w:szCs w:val="24"/>
          <w:lang w:eastAsia="en-US"/>
        </w:rPr>
      </w:pPr>
      <w:r w:rsidRPr="00A461EB">
        <w:rPr>
          <w:rFonts w:ascii="Bodoni MT" w:eastAsia="Calibri" w:hAnsi="Bodoni MT"/>
          <w:b/>
          <w:sz w:val="24"/>
          <w:szCs w:val="24"/>
          <w:lang w:eastAsia="en-US"/>
        </w:rPr>
        <w:t>Conclusion</w:t>
      </w:r>
    </w:p>
    <w:p w:rsidR="00A461EB" w:rsidRPr="00A461EB" w:rsidRDefault="00A461EB" w:rsidP="00A461EB">
      <w:pPr>
        <w:spacing w:after="160" w:line="259" w:lineRule="auto"/>
        <w:jc w:val="left"/>
        <w:rPr>
          <w:rFonts w:ascii="Bodoni MT" w:eastAsia="Calibri" w:hAnsi="Bodoni MT"/>
          <w:sz w:val="22"/>
          <w:szCs w:val="22"/>
          <w:lang w:eastAsia="en-US"/>
        </w:rPr>
      </w:pPr>
      <w:r w:rsidRPr="00A461EB">
        <w:rPr>
          <w:rFonts w:ascii="Bodoni MT" w:eastAsia="Calibri" w:hAnsi="Bodoni MT"/>
          <w:sz w:val="22"/>
          <w:szCs w:val="22"/>
          <w:lang w:eastAsia="en-US"/>
        </w:rPr>
        <w:t xml:space="preserve">Dans son appréciation personnelle du droit voté en Autriche, G. </w:t>
      </w:r>
      <w:proofErr w:type="spellStart"/>
      <w:r w:rsidRPr="00A461EB">
        <w:rPr>
          <w:rFonts w:ascii="Bodoni MT" w:eastAsia="Calibri" w:hAnsi="Bodoni MT"/>
          <w:sz w:val="22"/>
          <w:szCs w:val="22"/>
          <w:lang w:eastAsia="en-US"/>
        </w:rPr>
        <w:t>Blechl</w:t>
      </w:r>
      <w:proofErr w:type="spellEnd"/>
      <w:r w:rsidRPr="00A461EB">
        <w:rPr>
          <w:rFonts w:ascii="Bodoni MT" w:eastAsia="Calibri" w:hAnsi="Bodoni MT"/>
          <w:sz w:val="22"/>
          <w:szCs w:val="22"/>
          <w:lang w:eastAsia="en-US"/>
        </w:rPr>
        <w:t xml:space="preserve"> estime que dans sa forme actuelle </w:t>
      </w:r>
      <w:r w:rsidR="0077310D">
        <w:rPr>
          <w:rFonts w:ascii="Bodoni MT" w:eastAsia="Calibri" w:hAnsi="Bodoni MT"/>
          <w:sz w:val="22"/>
          <w:szCs w:val="22"/>
          <w:lang w:eastAsia="en-US"/>
        </w:rPr>
        <w:t>celui-ci</w:t>
      </w:r>
      <w:r w:rsidRPr="00A461EB">
        <w:rPr>
          <w:rFonts w:ascii="Bodoni MT" w:eastAsia="Calibri" w:hAnsi="Bodoni MT"/>
          <w:sz w:val="22"/>
          <w:szCs w:val="22"/>
          <w:lang w:eastAsia="en-US"/>
        </w:rPr>
        <w:t xml:space="preserve"> ne va pas générer une augmentation significative des publications en libre accès </w:t>
      </w:r>
      <w:r w:rsidR="000A5BF0">
        <w:rPr>
          <w:rFonts w:ascii="Bodoni MT" w:eastAsia="Calibri" w:hAnsi="Bodoni MT"/>
          <w:sz w:val="22"/>
          <w:szCs w:val="22"/>
          <w:lang w:eastAsia="en-US"/>
        </w:rPr>
        <w:t>(</w:t>
      </w:r>
      <w:proofErr w:type="spellStart"/>
      <w:r w:rsidR="000A5BF0">
        <w:rPr>
          <w:rFonts w:ascii="Bodoni MT" w:eastAsia="Calibri" w:hAnsi="Bodoni MT"/>
          <w:sz w:val="22"/>
          <w:szCs w:val="22"/>
          <w:lang w:eastAsia="en-US"/>
        </w:rPr>
        <w:t>Blechl</w:t>
      </w:r>
      <w:proofErr w:type="spellEnd"/>
      <w:r w:rsidR="000A5BF0">
        <w:rPr>
          <w:rFonts w:ascii="Bodoni MT" w:eastAsia="Calibri" w:hAnsi="Bodoni MT"/>
          <w:sz w:val="22"/>
          <w:szCs w:val="22"/>
          <w:lang w:eastAsia="en-US"/>
        </w:rPr>
        <w:t>, 2015)</w:t>
      </w:r>
      <w:r w:rsidRPr="00A461EB">
        <w:rPr>
          <w:rFonts w:ascii="Bodoni MT" w:eastAsia="Calibri" w:hAnsi="Bodoni MT"/>
          <w:sz w:val="22"/>
          <w:szCs w:val="22"/>
          <w:lang w:eastAsia="en-US"/>
        </w:rPr>
        <w:t>, et il n’y a pas aujourd’hui des chiffres qui indiqueraient le contraire. Cette opinion est partagée, plus ou moins ouvertement, par la plupart des acteurs qui ont à la fois soutenu sa création et aussi critiqué ses insuffisances. On espère généralement que ces dernières puissent être corrigées lors de révisions ultérieures, potentiellement provoquées, dans le cas de l’Allemagne, par des actions en justice.</w:t>
      </w:r>
    </w:p>
    <w:p w:rsidR="00A461EB" w:rsidRPr="00A461EB" w:rsidRDefault="00A461EB" w:rsidP="00A461EB">
      <w:pPr>
        <w:spacing w:after="160" w:line="259" w:lineRule="auto"/>
        <w:jc w:val="left"/>
        <w:rPr>
          <w:rFonts w:ascii="Bodoni MT" w:eastAsia="Calibri" w:hAnsi="Bodoni MT"/>
          <w:bCs/>
          <w:sz w:val="22"/>
          <w:szCs w:val="22"/>
          <w:lang w:eastAsia="en-US"/>
        </w:rPr>
      </w:pPr>
      <w:r w:rsidRPr="00A461EB">
        <w:rPr>
          <w:rFonts w:ascii="Bodoni MT" w:eastAsia="Calibri" w:hAnsi="Bodoni MT"/>
          <w:sz w:val="22"/>
          <w:szCs w:val="22"/>
          <w:lang w:eastAsia="en-US"/>
        </w:rPr>
        <w:t xml:space="preserve">Néanmoins, ces mêmes acteurs sont unanimes à reconnaître et saluer la forte valeur symbolique de ce nouveau type de droit, car il représente une avancée incontestable, </w:t>
      </w:r>
      <w:r w:rsidRPr="00A461EB">
        <w:rPr>
          <w:rFonts w:ascii="Bodoni MT" w:eastAsia="Calibri" w:hAnsi="Bodoni MT"/>
          <w:bCs/>
          <w:sz w:val="22"/>
          <w:szCs w:val="22"/>
          <w:lang w:eastAsia="en-US"/>
        </w:rPr>
        <w:t xml:space="preserve">aussi bien pour la situation des auteurs dans leurs relations avec les éditeurs que dans la prise en compte des enjeux du Libre accès par la politique en général. </w:t>
      </w:r>
      <w:r w:rsidR="00F105F2">
        <w:rPr>
          <w:rFonts w:ascii="Bodoni MT" w:eastAsia="Calibri" w:hAnsi="Bodoni MT"/>
          <w:bCs/>
          <w:sz w:val="22"/>
          <w:szCs w:val="22"/>
          <w:lang w:eastAsia="en-US"/>
        </w:rPr>
        <w:t>A titre d’exemple, citons</w:t>
      </w:r>
      <w:r w:rsidRPr="00A461EB">
        <w:rPr>
          <w:rFonts w:ascii="Bodoni MT" w:eastAsia="Calibri" w:hAnsi="Bodoni MT"/>
          <w:bCs/>
          <w:sz w:val="22"/>
          <w:szCs w:val="22"/>
          <w:lang w:eastAsia="en-US"/>
        </w:rPr>
        <w:t xml:space="preserve"> S. </w:t>
      </w:r>
      <w:proofErr w:type="spellStart"/>
      <w:r w:rsidRPr="00A461EB">
        <w:rPr>
          <w:rFonts w:ascii="Bodoni MT" w:eastAsia="Calibri" w:hAnsi="Bodoni MT"/>
          <w:bCs/>
          <w:sz w:val="22"/>
          <w:szCs w:val="22"/>
          <w:lang w:eastAsia="en-US"/>
        </w:rPr>
        <w:t>Harnad</w:t>
      </w:r>
      <w:proofErr w:type="spellEnd"/>
      <w:r w:rsidR="00E72652">
        <w:rPr>
          <w:rFonts w:ascii="Bodoni MT" w:eastAsia="Calibri" w:hAnsi="Bodoni MT"/>
          <w:bCs/>
          <w:sz w:val="22"/>
          <w:szCs w:val="22"/>
          <w:lang w:eastAsia="en-US"/>
        </w:rPr>
        <w:t xml:space="preserve"> (2013)</w:t>
      </w:r>
      <w:r w:rsidRPr="00A461EB">
        <w:rPr>
          <w:rFonts w:ascii="Bodoni MT" w:eastAsia="Calibri" w:hAnsi="Bodoni MT"/>
          <w:bCs/>
          <w:sz w:val="22"/>
          <w:szCs w:val="22"/>
          <w:lang w:eastAsia="en-US"/>
        </w:rPr>
        <w:t>, dans sa réaction au texte de loi allemand :</w:t>
      </w:r>
    </w:p>
    <w:p w:rsidR="00A461EB" w:rsidRPr="00A461EB" w:rsidRDefault="00A461EB" w:rsidP="00A461EB">
      <w:pPr>
        <w:spacing w:after="160" w:line="259" w:lineRule="auto"/>
        <w:jc w:val="left"/>
        <w:rPr>
          <w:rFonts w:ascii="Bodoni MT" w:eastAsia="Calibri" w:hAnsi="Bodoni MT"/>
          <w:sz w:val="22"/>
          <w:szCs w:val="22"/>
          <w:lang w:eastAsia="en-US"/>
        </w:rPr>
      </w:pPr>
      <w:r w:rsidRPr="00E72652">
        <w:rPr>
          <w:rFonts w:ascii="Bodoni MT" w:eastAsia="Calibri" w:hAnsi="Bodoni MT"/>
          <w:i/>
          <w:sz w:val="22"/>
          <w:szCs w:val="22"/>
          <w:lang w:eastAsia="en-US"/>
        </w:rPr>
        <w:t xml:space="preserve">« C'est lourd, c'est </w:t>
      </w:r>
      <w:proofErr w:type="spellStart"/>
      <w:r w:rsidRPr="00E72652">
        <w:rPr>
          <w:rFonts w:ascii="Bodoni MT" w:eastAsia="Calibri" w:hAnsi="Bodoni MT"/>
          <w:i/>
          <w:sz w:val="22"/>
          <w:szCs w:val="22"/>
          <w:lang w:eastAsia="en-US"/>
        </w:rPr>
        <w:t>légo</w:t>
      </w:r>
      <w:proofErr w:type="spellEnd"/>
      <w:r w:rsidRPr="00E72652">
        <w:rPr>
          <w:rFonts w:ascii="Bodoni MT" w:eastAsia="Calibri" w:hAnsi="Bodoni MT"/>
          <w:i/>
          <w:sz w:val="22"/>
          <w:szCs w:val="22"/>
          <w:lang w:eastAsia="en-US"/>
        </w:rPr>
        <w:t xml:space="preserve">-légaliste, c'est lent (12 mois !), mais à condition que ça soit apparié avec une obligation de dépôt immédiat dans l'archive institutionnelle (peu importe la date de mise en accès libre du dépôt) ainsi qu'avec le </w:t>
      </w:r>
      <w:r w:rsidR="00E72652">
        <w:rPr>
          <w:rFonts w:ascii="Bodoni MT" w:eastAsia="Calibri" w:hAnsi="Bodoni MT"/>
          <w:i/>
          <w:sz w:val="22"/>
          <w:szCs w:val="22"/>
          <w:lang w:eastAsia="en-US"/>
        </w:rPr>
        <w:t>B</w:t>
      </w:r>
      <w:r w:rsidRPr="00E72652">
        <w:rPr>
          <w:rFonts w:ascii="Bodoni MT" w:eastAsia="Calibri" w:hAnsi="Bodoni MT"/>
          <w:i/>
          <w:sz w:val="22"/>
          <w:szCs w:val="22"/>
          <w:lang w:eastAsia="en-US"/>
        </w:rPr>
        <w:t>outon "presqu'OA"</w:t>
      </w:r>
      <w:r w:rsidR="00F80E4A">
        <w:rPr>
          <w:rFonts w:ascii="Bodoni MT" w:eastAsia="Calibri" w:hAnsi="Bodoni MT"/>
          <w:i/>
          <w:sz w:val="22"/>
          <w:szCs w:val="22"/>
          <w:lang w:eastAsia="en-US"/>
        </w:rPr>
        <w:t>,</w:t>
      </w:r>
      <w:r w:rsidRPr="00E72652">
        <w:rPr>
          <w:rFonts w:ascii="Bodoni MT" w:eastAsia="Calibri" w:hAnsi="Bodoni MT"/>
          <w:i/>
          <w:sz w:val="22"/>
          <w:szCs w:val="22"/>
          <w:lang w:eastAsia="en-US"/>
        </w:rPr>
        <w:t xml:space="preserve"> c'est tout ce qu'il faut pour faire tomber tous les autres dominos (au fur et à mesure que ça </w:t>
      </w:r>
      <w:r w:rsidR="005A3470" w:rsidRPr="00E72652">
        <w:rPr>
          <w:rFonts w:ascii="Bodoni MT" w:eastAsia="Calibri" w:hAnsi="Bodoni MT"/>
          <w:i/>
          <w:sz w:val="22"/>
          <w:szCs w:val="22"/>
          <w:lang w:eastAsia="en-US"/>
        </w:rPr>
        <w:t xml:space="preserve">se </w:t>
      </w:r>
      <w:r w:rsidRPr="00E72652">
        <w:rPr>
          <w:rFonts w:ascii="Bodoni MT" w:eastAsia="Calibri" w:hAnsi="Bodoni MT"/>
          <w:i/>
          <w:sz w:val="22"/>
          <w:szCs w:val="22"/>
          <w:lang w:eastAsia="en-US"/>
        </w:rPr>
        <w:t>globalise)... »</w:t>
      </w:r>
      <w:r w:rsidRPr="00A461EB">
        <w:rPr>
          <w:rFonts w:ascii="Bodoni MT" w:eastAsia="Calibri" w:hAnsi="Bodoni MT"/>
          <w:sz w:val="22"/>
          <w:szCs w:val="22"/>
          <w:vertAlign w:val="superscript"/>
          <w:lang w:eastAsia="en-US"/>
        </w:rPr>
        <w:footnoteReference w:id="18"/>
      </w:r>
    </w:p>
    <w:p w:rsidR="00B10182" w:rsidRPr="00AE31A3" w:rsidRDefault="00B10182" w:rsidP="00B10182">
      <w:pPr>
        <w:tabs>
          <w:tab w:val="left" w:pos="1005"/>
        </w:tabs>
        <w:rPr>
          <w:rFonts w:ascii="Bodoni MT" w:eastAsia="Calibri" w:hAnsi="Bodoni MT"/>
          <w:sz w:val="22"/>
          <w:szCs w:val="22"/>
          <w:lang w:eastAsia="en-US"/>
        </w:rPr>
      </w:pPr>
    </w:p>
    <w:p w:rsidR="008947D1" w:rsidRPr="00231E46" w:rsidRDefault="00B10182" w:rsidP="00B10182">
      <w:pPr>
        <w:pStyle w:val="Sous-titre"/>
        <w:jc w:val="left"/>
        <w:rPr>
          <w:i w:val="0"/>
          <w:sz w:val="24"/>
          <w:szCs w:val="24"/>
          <w:lang w:val="en-US" w:eastAsia="en-US"/>
        </w:rPr>
      </w:pPr>
      <w:r w:rsidRPr="00ED09F1">
        <w:rPr>
          <w:lang w:val="en-US" w:eastAsia="en-US"/>
        </w:rPr>
        <w:br w:type="page"/>
      </w:r>
      <w:proofErr w:type="spellStart"/>
      <w:r w:rsidRPr="00231E46">
        <w:rPr>
          <w:i w:val="0"/>
          <w:sz w:val="24"/>
          <w:szCs w:val="24"/>
          <w:lang w:val="en-US" w:eastAsia="en-US"/>
        </w:rPr>
        <w:t>Bibliographie</w:t>
      </w:r>
      <w:proofErr w:type="spellEnd"/>
    </w:p>
    <w:p w:rsidR="00CA7282" w:rsidRPr="00231E46" w:rsidRDefault="00CA7282" w:rsidP="00CA7282">
      <w:pPr>
        <w:pStyle w:val="Auteurs"/>
        <w:spacing w:before="0"/>
        <w:rPr>
          <w:lang w:val="en-US" w:eastAsia="en-US"/>
        </w:rPr>
      </w:pPr>
    </w:p>
    <w:p w:rsidR="001F750B" w:rsidRPr="001F750B" w:rsidRDefault="001F750B" w:rsidP="00CC37CE">
      <w:pPr>
        <w:pStyle w:val="Affiliation"/>
        <w:spacing w:after="240"/>
        <w:ind w:left="454" w:hanging="454"/>
        <w:jc w:val="both"/>
        <w:rPr>
          <w:sz w:val="20"/>
          <w:lang w:val="en-US" w:eastAsia="en-US"/>
        </w:rPr>
      </w:pPr>
      <w:r w:rsidRPr="001F750B">
        <w:rPr>
          <w:sz w:val="20"/>
          <w:lang w:val="en-US" w:eastAsia="en-US"/>
        </w:rPr>
        <w:t>B</w:t>
      </w:r>
      <w:r>
        <w:rPr>
          <w:sz w:val="20"/>
          <w:lang w:val="en-US" w:eastAsia="en-US"/>
        </w:rPr>
        <w:t>ANKS, Chris (2016).</w:t>
      </w:r>
      <w:r w:rsidRPr="001F750B">
        <w:rPr>
          <w:sz w:val="20"/>
          <w:lang w:val="en-US" w:eastAsia="en-US"/>
        </w:rPr>
        <w:t xml:space="preserve"> Focusing upstream: supporting scholarly communication by academics, </w:t>
      </w:r>
      <w:r w:rsidRPr="001F750B">
        <w:rPr>
          <w:i/>
          <w:iCs/>
          <w:sz w:val="20"/>
          <w:lang w:val="en-US" w:eastAsia="en-US"/>
        </w:rPr>
        <w:t>Insights</w:t>
      </w:r>
      <w:r w:rsidRPr="001F750B">
        <w:rPr>
          <w:sz w:val="20"/>
          <w:lang w:val="en-US" w:eastAsia="en-US"/>
        </w:rPr>
        <w:t xml:space="preserve">, </w:t>
      </w:r>
      <w:r w:rsidR="00ED21CD">
        <w:rPr>
          <w:sz w:val="20"/>
          <w:lang w:val="en-US" w:eastAsia="en-US"/>
        </w:rPr>
        <w:t xml:space="preserve">vol. </w:t>
      </w:r>
      <w:r w:rsidRPr="001F750B">
        <w:rPr>
          <w:sz w:val="20"/>
          <w:lang w:val="en-US" w:eastAsia="en-US"/>
        </w:rPr>
        <w:t>29</w:t>
      </w:r>
      <w:r w:rsidR="00ED21CD">
        <w:rPr>
          <w:sz w:val="20"/>
          <w:lang w:val="en-US" w:eastAsia="en-US"/>
        </w:rPr>
        <w:t xml:space="preserve">, n° </w:t>
      </w:r>
      <w:r w:rsidRPr="001F750B">
        <w:rPr>
          <w:sz w:val="20"/>
          <w:lang w:val="en-US" w:eastAsia="en-US"/>
        </w:rPr>
        <w:t xml:space="preserve">1, </w:t>
      </w:r>
      <w:r>
        <w:rPr>
          <w:sz w:val="20"/>
          <w:lang w:val="en-US" w:eastAsia="en-US"/>
        </w:rPr>
        <w:t xml:space="preserve">pp. </w:t>
      </w:r>
      <w:r w:rsidRPr="001F750B">
        <w:rPr>
          <w:sz w:val="20"/>
          <w:lang w:val="en-US" w:eastAsia="en-US"/>
        </w:rPr>
        <w:t>37–44</w:t>
      </w:r>
      <w:r>
        <w:rPr>
          <w:sz w:val="20"/>
          <w:lang w:val="en-US" w:eastAsia="en-US"/>
        </w:rPr>
        <w:t xml:space="preserve">. </w:t>
      </w:r>
      <w:proofErr w:type="spellStart"/>
      <w:r>
        <w:rPr>
          <w:sz w:val="20"/>
          <w:lang w:val="en-US" w:eastAsia="en-US"/>
        </w:rPr>
        <w:t>Disponible</w:t>
      </w:r>
      <w:proofErr w:type="spellEnd"/>
      <w:r>
        <w:rPr>
          <w:sz w:val="20"/>
          <w:lang w:val="en-US" w:eastAsia="en-US"/>
        </w:rPr>
        <w:t xml:space="preserve"> à:</w:t>
      </w:r>
      <w:r w:rsidRPr="001F750B">
        <w:rPr>
          <w:sz w:val="20"/>
          <w:lang w:val="en-US" w:eastAsia="en-US"/>
        </w:rPr>
        <w:t xml:space="preserve"> </w:t>
      </w:r>
      <w:hyperlink r:id="rId12" w:history="1">
        <w:r w:rsidRPr="00AA119D">
          <w:rPr>
            <w:rStyle w:val="Lienhypertexte"/>
            <w:sz w:val="20"/>
            <w:lang w:val="en-US" w:eastAsia="en-US"/>
          </w:rPr>
          <w:t>http://doi.org/10.1629/uksg.292</w:t>
        </w:r>
      </w:hyperlink>
      <w:r>
        <w:rPr>
          <w:sz w:val="20"/>
          <w:lang w:val="en-US" w:eastAsia="en-US"/>
        </w:rPr>
        <w:t xml:space="preserve"> </w:t>
      </w:r>
    </w:p>
    <w:p w:rsidR="00CC37CE" w:rsidRDefault="00CC37CE" w:rsidP="00CC37CE">
      <w:pPr>
        <w:pStyle w:val="Affiliation"/>
        <w:spacing w:after="240"/>
        <w:ind w:left="454" w:hanging="454"/>
        <w:jc w:val="both"/>
        <w:rPr>
          <w:sz w:val="20"/>
          <w:lang w:eastAsia="en-US"/>
        </w:rPr>
      </w:pPr>
      <w:r w:rsidRPr="001F750B">
        <w:rPr>
          <w:sz w:val="20"/>
          <w:lang w:val="en-US" w:eastAsia="en-US"/>
        </w:rPr>
        <w:t xml:space="preserve">BLECHL, Guido (2015). </w:t>
      </w:r>
      <w:proofErr w:type="spellStart"/>
      <w:r w:rsidRPr="001F750B">
        <w:rPr>
          <w:sz w:val="20"/>
          <w:lang w:val="en-US" w:eastAsia="en-US"/>
        </w:rPr>
        <w:t>Zweitveröffentlichungsrecht</w:t>
      </w:r>
      <w:proofErr w:type="spellEnd"/>
      <w:r w:rsidRPr="001F750B">
        <w:rPr>
          <w:sz w:val="20"/>
          <w:lang w:val="en-US" w:eastAsia="en-US"/>
        </w:rPr>
        <w:t xml:space="preserve"> – </w:t>
      </w:r>
      <w:proofErr w:type="spellStart"/>
      <w:r w:rsidRPr="001F750B">
        <w:rPr>
          <w:sz w:val="20"/>
          <w:lang w:val="en-US" w:eastAsia="en-US"/>
        </w:rPr>
        <w:t>jetzt</w:t>
      </w:r>
      <w:proofErr w:type="spellEnd"/>
      <w:r w:rsidRPr="001F750B">
        <w:rPr>
          <w:sz w:val="20"/>
          <w:lang w:val="en-US" w:eastAsia="en-US"/>
        </w:rPr>
        <w:t xml:space="preserve"> </w:t>
      </w:r>
      <w:proofErr w:type="spellStart"/>
      <w:r w:rsidRPr="001F750B">
        <w:rPr>
          <w:sz w:val="20"/>
          <w:lang w:val="en-US" w:eastAsia="en-US"/>
        </w:rPr>
        <w:t>auch</w:t>
      </w:r>
      <w:proofErr w:type="spellEnd"/>
      <w:r w:rsidRPr="001F750B">
        <w:rPr>
          <w:sz w:val="20"/>
          <w:lang w:val="en-US" w:eastAsia="en-US"/>
        </w:rPr>
        <w:t xml:space="preserve"> in </w:t>
      </w:r>
      <w:proofErr w:type="spellStart"/>
      <w:r w:rsidRPr="001F750B">
        <w:rPr>
          <w:sz w:val="20"/>
          <w:lang w:val="en-US" w:eastAsia="en-US"/>
        </w:rPr>
        <w:t>Österreich</w:t>
      </w:r>
      <w:proofErr w:type="spellEnd"/>
      <w:r w:rsidRPr="001F750B">
        <w:rPr>
          <w:sz w:val="20"/>
          <w:lang w:val="en-US" w:eastAsia="en-US"/>
        </w:rPr>
        <w:t xml:space="preserve">. </w:t>
      </w:r>
      <w:r w:rsidRPr="00231E46">
        <w:rPr>
          <w:i/>
          <w:sz w:val="20"/>
          <w:lang w:eastAsia="en-US"/>
        </w:rPr>
        <w:t>Open-Access-Tage Zürich 2015</w:t>
      </w:r>
      <w:r w:rsidRPr="00231E46">
        <w:rPr>
          <w:sz w:val="20"/>
          <w:lang w:eastAsia="en-US"/>
        </w:rPr>
        <w:t xml:space="preserve"> [En ligne] Dispo</w:t>
      </w:r>
      <w:r w:rsidRPr="00803CEF">
        <w:rPr>
          <w:sz w:val="20"/>
          <w:lang w:eastAsia="en-US"/>
        </w:rPr>
        <w:t xml:space="preserve">nible à: </w:t>
      </w:r>
      <w:hyperlink r:id="rId13" w:history="1">
        <w:r w:rsidRPr="00D4791A">
          <w:rPr>
            <w:rStyle w:val="Lienhypertexte"/>
            <w:sz w:val="20"/>
            <w:lang w:eastAsia="en-US"/>
          </w:rPr>
          <w:t>http://open-access.net/fileadmin/oat/oat15/slides/Blechl_Guido_2015-09-07.pdf</w:t>
        </w:r>
      </w:hyperlink>
      <w:r>
        <w:rPr>
          <w:sz w:val="20"/>
          <w:lang w:eastAsia="en-US"/>
        </w:rPr>
        <w:t xml:space="preserve"> (page consultée le 1er septembre 2016)</w:t>
      </w:r>
    </w:p>
    <w:p w:rsidR="00695542" w:rsidRDefault="00C11663" w:rsidP="00695542">
      <w:pPr>
        <w:pStyle w:val="Affiliation"/>
        <w:spacing w:after="240"/>
        <w:ind w:left="454" w:hanging="454"/>
        <w:jc w:val="both"/>
        <w:rPr>
          <w:sz w:val="20"/>
          <w:lang w:eastAsia="en-US"/>
        </w:rPr>
      </w:pPr>
      <w:r>
        <w:rPr>
          <w:sz w:val="20"/>
          <w:lang w:eastAsia="en-US"/>
        </w:rPr>
        <w:t xml:space="preserve">BRUCH, Christoph; PFLÜGER, Thomas (2014). </w:t>
      </w:r>
      <w:proofErr w:type="spellStart"/>
      <w:r w:rsidRPr="00706358">
        <w:rPr>
          <w:sz w:val="20"/>
          <w:lang w:eastAsia="en-US"/>
        </w:rPr>
        <w:t>Das</w:t>
      </w:r>
      <w:proofErr w:type="spellEnd"/>
      <w:r w:rsidR="00706358" w:rsidRPr="00706358">
        <w:rPr>
          <w:sz w:val="20"/>
          <w:lang w:eastAsia="en-US"/>
        </w:rPr>
        <w:t xml:space="preserve"> </w:t>
      </w:r>
      <w:proofErr w:type="spellStart"/>
      <w:r w:rsidR="00706358" w:rsidRPr="00706358">
        <w:rPr>
          <w:sz w:val="20"/>
          <w:lang w:eastAsia="en-US"/>
        </w:rPr>
        <w:t>Zweitveröffentlichungsrecht</w:t>
      </w:r>
      <w:proofErr w:type="spellEnd"/>
      <w:r w:rsidRPr="00706358">
        <w:rPr>
          <w:sz w:val="20"/>
          <w:lang w:eastAsia="en-US"/>
        </w:rPr>
        <w:t xml:space="preserve"> des § 38 Abs. 4 </w:t>
      </w:r>
      <w:proofErr w:type="spellStart"/>
      <w:r w:rsidRPr="00706358">
        <w:rPr>
          <w:sz w:val="20"/>
          <w:lang w:eastAsia="en-US"/>
        </w:rPr>
        <w:t>UrhG</w:t>
      </w:r>
      <w:proofErr w:type="spellEnd"/>
      <w:r w:rsidRPr="00706358">
        <w:rPr>
          <w:sz w:val="20"/>
          <w:lang w:eastAsia="en-US"/>
        </w:rPr>
        <w:t xml:space="preserve"> – </w:t>
      </w:r>
      <w:proofErr w:type="spellStart"/>
      <w:r w:rsidR="00706358" w:rsidRPr="00706358">
        <w:rPr>
          <w:sz w:val="20"/>
          <w:lang w:eastAsia="en-US"/>
        </w:rPr>
        <w:t>Möglichkeiten</w:t>
      </w:r>
      <w:proofErr w:type="spellEnd"/>
      <w:r w:rsidR="00706358" w:rsidRPr="00706358">
        <w:rPr>
          <w:sz w:val="20"/>
          <w:lang w:eastAsia="en-US"/>
        </w:rPr>
        <w:t xml:space="preserve"> und </w:t>
      </w:r>
      <w:proofErr w:type="spellStart"/>
      <w:r w:rsidR="00706358" w:rsidRPr="00706358">
        <w:rPr>
          <w:sz w:val="20"/>
          <w:lang w:eastAsia="en-US"/>
        </w:rPr>
        <w:t>Grenzen</w:t>
      </w:r>
      <w:proofErr w:type="spellEnd"/>
      <w:r w:rsidR="00706358" w:rsidRPr="00706358">
        <w:rPr>
          <w:sz w:val="20"/>
          <w:lang w:eastAsia="en-US"/>
        </w:rPr>
        <w:t xml:space="preserve"> </w:t>
      </w:r>
      <w:proofErr w:type="spellStart"/>
      <w:r w:rsidR="00706358" w:rsidRPr="00706358">
        <w:rPr>
          <w:sz w:val="20"/>
          <w:lang w:eastAsia="en-US"/>
        </w:rPr>
        <w:t>bei</w:t>
      </w:r>
      <w:proofErr w:type="spellEnd"/>
      <w:r w:rsidR="00706358" w:rsidRPr="00706358">
        <w:rPr>
          <w:sz w:val="20"/>
          <w:lang w:eastAsia="en-US"/>
        </w:rPr>
        <w:t xml:space="preserve"> der </w:t>
      </w:r>
      <w:proofErr w:type="spellStart"/>
      <w:r w:rsidR="00706358" w:rsidRPr="00706358">
        <w:rPr>
          <w:sz w:val="20"/>
          <w:lang w:eastAsia="en-US"/>
        </w:rPr>
        <w:t>Anwendung</w:t>
      </w:r>
      <w:proofErr w:type="spellEnd"/>
      <w:r w:rsidR="00706358" w:rsidRPr="00706358">
        <w:rPr>
          <w:sz w:val="20"/>
          <w:lang w:eastAsia="en-US"/>
        </w:rPr>
        <w:t xml:space="preserve"> in der Praxis</w:t>
      </w:r>
      <w:r w:rsidR="00706358">
        <w:rPr>
          <w:sz w:val="20"/>
          <w:lang w:eastAsia="en-US"/>
        </w:rPr>
        <w:t xml:space="preserve">. In </w:t>
      </w:r>
      <w:proofErr w:type="spellStart"/>
      <w:r w:rsidR="00706358" w:rsidRPr="00706358">
        <w:rPr>
          <w:i/>
          <w:sz w:val="20"/>
          <w:lang w:eastAsia="en-US"/>
        </w:rPr>
        <w:t>Zeitschrift</w:t>
      </w:r>
      <w:proofErr w:type="spellEnd"/>
      <w:r w:rsidR="00706358" w:rsidRPr="00706358">
        <w:rPr>
          <w:i/>
          <w:sz w:val="20"/>
          <w:lang w:eastAsia="en-US"/>
        </w:rPr>
        <w:t xml:space="preserve"> für Urheber- und Medienrecht</w:t>
      </w:r>
      <w:r w:rsidR="00706358">
        <w:rPr>
          <w:i/>
          <w:sz w:val="20"/>
          <w:lang w:eastAsia="en-US"/>
        </w:rPr>
        <w:t xml:space="preserve">, </w:t>
      </w:r>
      <w:r w:rsidR="00706358" w:rsidRPr="0084343E">
        <w:rPr>
          <w:sz w:val="20"/>
          <w:lang w:eastAsia="en-US"/>
        </w:rPr>
        <w:t>vol. 58, n° 5, pp. 389-394</w:t>
      </w:r>
      <w:r w:rsidR="0084343E">
        <w:rPr>
          <w:sz w:val="20"/>
          <w:lang w:eastAsia="en-US"/>
        </w:rPr>
        <w:t>. Version manuscrit disponible à :</w:t>
      </w:r>
      <w:r w:rsidR="0084343E" w:rsidRPr="0084343E">
        <w:t xml:space="preserve"> </w:t>
      </w:r>
      <w:hyperlink r:id="rId14" w:history="1">
        <w:r w:rsidR="0084343E" w:rsidRPr="00C76B35">
          <w:rPr>
            <w:rStyle w:val="Lienhypertexte"/>
            <w:sz w:val="20"/>
            <w:lang w:eastAsia="en-US"/>
          </w:rPr>
          <w:t>https://epic.awi.de/35491/1/ZUM.pdf</w:t>
        </w:r>
      </w:hyperlink>
      <w:r w:rsidR="0084343E">
        <w:rPr>
          <w:sz w:val="20"/>
          <w:lang w:eastAsia="en-US"/>
        </w:rPr>
        <w:t xml:space="preserve"> (consulté le 31 août 2016)</w:t>
      </w:r>
    </w:p>
    <w:p w:rsidR="00E17DB8" w:rsidRDefault="0084343E" w:rsidP="00E17DB8">
      <w:pPr>
        <w:pStyle w:val="Affiliation"/>
        <w:spacing w:after="240"/>
        <w:ind w:left="426" w:hanging="426"/>
        <w:jc w:val="left"/>
        <w:rPr>
          <w:sz w:val="20"/>
          <w:lang w:eastAsia="en-US"/>
        </w:rPr>
      </w:pPr>
      <w:r w:rsidRPr="00203AE4">
        <w:rPr>
          <w:sz w:val="20"/>
          <w:lang w:val="en-US" w:eastAsia="en-US"/>
        </w:rPr>
        <w:t xml:space="preserve">BRUCH, Christoph </w:t>
      </w:r>
      <w:r w:rsidR="00A9652E" w:rsidRPr="00203AE4">
        <w:rPr>
          <w:sz w:val="20"/>
          <w:lang w:val="en-US" w:eastAsia="en-US"/>
        </w:rPr>
        <w:t>(2016)</w:t>
      </w:r>
      <w:r w:rsidR="00203AE4" w:rsidRPr="00203AE4">
        <w:rPr>
          <w:sz w:val="20"/>
          <w:lang w:val="en-US" w:eastAsia="en-US"/>
        </w:rPr>
        <w:t xml:space="preserve">. </w:t>
      </w:r>
      <w:proofErr w:type="spellStart"/>
      <w:r w:rsidR="00203AE4" w:rsidRPr="00203AE4">
        <w:rPr>
          <w:sz w:val="20"/>
          <w:lang w:val="en-US" w:eastAsia="en-US"/>
        </w:rPr>
        <w:t>Zweitveröffentlichungsrecht</w:t>
      </w:r>
      <w:proofErr w:type="spellEnd"/>
      <w:r w:rsidR="00203AE4" w:rsidRPr="00203AE4">
        <w:rPr>
          <w:sz w:val="20"/>
          <w:lang w:val="en-US" w:eastAsia="en-US"/>
        </w:rPr>
        <w:t xml:space="preserve"> – </w:t>
      </w:r>
      <w:proofErr w:type="spellStart"/>
      <w:r w:rsidR="00203AE4" w:rsidRPr="00203AE4">
        <w:rPr>
          <w:sz w:val="20"/>
          <w:lang w:val="en-US" w:eastAsia="en-US"/>
        </w:rPr>
        <w:t>Steuerfinanziertes</w:t>
      </w:r>
      <w:proofErr w:type="spellEnd"/>
      <w:r w:rsidR="00203AE4" w:rsidRPr="00203AE4">
        <w:rPr>
          <w:sz w:val="20"/>
          <w:lang w:val="en-US" w:eastAsia="en-US"/>
        </w:rPr>
        <w:t xml:space="preserve"> </w:t>
      </w:r>
      <w:proofErr w:type="spellStart"/>
      <w:r w:rsidR="00203AE4" w:rsidRPr="00203AE4">
        <w:rPr>
          <w:sz w:val="20"/>
          <w:lang w:val="en-US" w:eastAsia="en-US"/>
        </w:rPr>
        <w:t>Wissen</w:t>
      </w:r>
      <w:proofErr w:type="spellEnd"/>
      <w:r w:rsidR="00203AE4" w:rsidRPr="00203AE4">
        <w:rPr>
          <w:sz w:val="20"/>
          <w:lang w:val="en-US" w:eastAsia="en-US"/>
        </w:rPr>
        <w:t xml:space="preserve"> für </w:t>
      </w:r>
      <w:proofErr w:type="spellStart"/>
      <w:r w:rsidR="00203AE4" w:rsidRPr="00203AE4">
        <w:rPr>
          <w:sz w:val="20"/>
          <w:lang w:val="en-US" w:eastAsia="en-US"/>
        </w:rPr>
        <w:t>alle</w:t>
      </w:r>
      <w:proofErr w:type="spellEnd"/>
      <w:r w:rsidR="00203AE4" w:rsidRPr="00203AE4">
        <w:rPr>
          <w:sz w:val="20"/>
          <w:lang w:val="en-US" w:eastAsia="en-US"/>
        </w:rPr>
        <w:t>.</w:t>
      </w:r>
      <w:r w:rsidRPr="00203AE4">
        <w:rPr>
          <w:sz w:val="20"/>
          <w:lang w:val="en-US" w:eastAsia="en-US"/>
        </w:rPr>
        <w:t xml:space="preserve"> </w:t>
      </w:r>
      <w:r w:rsidR="00AC5567" w:rsidRPr="00AC5567">
        <w:rPr>
          <w:i/>
          <w:sz w:val="20"/>
          <w:lang w:eastAsia="en-US"/>
        </w:rPr>
        <w:t xml:space="preserve">Helmholtz </w:t>
      </w:r>
      <w:proofErr w:type="spellStart"/>
      <w:r w:rsidR="00AC5567" w:rsidRPr="00AC5567">
        <w:rPr>
          <w:i/>
          <w:sz w:val="20"/>
          <w:lang w:eastAsia="en-US"/>
        </w:rPr>
        <w:t>Gemeinschaft</w:t>
      </w:r>
      <w:proofErr w:type="spellEnd"/>
      <w:r w:rsidR="00AC5567" w:rsidRPr="00AC5567">
        <w:rPr>
          <w:i/>
          <w:sz w:val="20"/>
          <w:lang w:eastAsia="en-US"/>
        </w:rPr>
        <w:t xml:space="preserve"> </w:t>
      </w:r>
      <w:proofErr w:type="spellStart"/>
      <w:r w:rsidR="00AC5567" w:rsidRPr="00AC5567">
        <w:rPr>
          <w:i/>
          <w:sz w:val="20"/>
          <w:lang w:eastAsia="en-US"/>
        </w:rPr>
        <w:t>Aktuell</w:t>
      </w:r>
      <w:proofErr w:type="spellEnd"/>
      <w:r w:rsidR="00AC5567" w:rsidRPr="00AC5567">
        <w:rPr>
          <w:i/>
          <w:sz w:val="20"/>
          <w:lang w:eastAsia="en-US"/>
        </w:rPr>
        <w:t xml:space="preserve">. </w:t>
      </w:r>
      <w:r w:rsidR="00AC5567" w:rsidRPr="00AC5567">
        <w:rPr>
          <w:sz w:val="20"/>
          <w:lang w:eastAsia="en-US"/>
        </w:rPr>
        <w:t>[En ligne] Disponibl</w:t>
      </w:r>
      <w:r w:rsidR="00EA6591">
        <w:rPr>
          <w:sz w:val="20"/>
          <w:lang w:eastAsia="en-US"/>
        </w:rPr>
        <w:t>e</w:t>
      </w:r>
      <w:r w:rsidR="00AC5567" w:rsidRPr="00AC5567">
        <w:rPr>
          <w:sz w:val="20"/>
          <w:lang w:eastAsia="en-US"/>
        </w:rPr>
        <w:t xml:space="preserve"> à:</w:t>
      </w:r>
      <w:r w:rsidR="00EA6591" w:rsidRPr="00EA6591">
        <w:rPr>
          <w:rFonts w:ascii="Times New Roman" w:eastAsiaTheme="minorHAnsi" w:hAnsi="Times New Roman"/>
          <w:sz w:val="24"/>
          <w:szCs w:val="24"/>
          <w:lang w:eastAsia="en-US"/>
        </w:rPr>
        <w:t xml:space="preserve"> </w:t>
      </w:r>
      <w:hyperlink r:id="rId15" w:history="1">
        <w:r w:rsidR="00EA6591" w:rsidRPr="00EA6591">
          <w:rPr>
            <w:rStyle w:val="Lienhypertexte"/>
            <w:sz w:val="20"/>
            <w:lang w:eastAsia="en-US"/>
          </w:rPr>
          <w:t>www.helmholtz.de/wissenschaft_und_gesellschaft/steuerfinanziertes-wissen-fuer-alle-5355</w:t>
        </w:r>
      </w:hyperlink>
      <w:r w:rsidR="00AC5567" w:rsidRPr="00AC5567">
        <w:rPr>
          <w:sz w:val="20"/>
          <w:lang w:eastAsia="en-US"/>
        </w:rPr>
        <w:t xml:space="preserve"> </w:t>
      </w:r>
      <w:r w:rsidR="00330964">
        <w:rPr>
          <w:sz w:val="20"/>
          <w:lang w:eastAsia="en-US"/>
        </w:rPr>
        <w:t xml:space="preserve">(consulté le 1er septembre 2016) </w:t>
      </w:r>
    </w:p>
    <w:p w:rsidR="00E17DB8" w:rsidRPr="00E17DB8" w:rsidRDefault="00E17DB8" w:rsidP="00E17DB8">
      <w:pPr>
        <w:pStyle w:val="Affiliation"/>
        <w:spacing w:after="240"/>
        <w:ind w:left="426" w:hanging="426"/>
        <w:jc w:val="left"/>
        <w:rPr>
          <w:lang w:eastAsia="en-US"/>
        </w:rPr>
      </w:pPr>
      <w:r w:rsidRPr="00E17DB8">
        <w:rPr>
          <w:sz w:val="20"/>
          <w:lang w:eastAsia="en-US"/>
        </w:rPr>
        <w:t>CNRS, Direction de l’information scientifique et technique (DIST) (2016).</w:t>
      </w:r>
      <w:r>
        <w:rPr>
          <w:lang w:eastAsia="en-US"/>
        </w:rPr>
        <w:t xml:space="preserve"> </w:t>
      </w:r>
      <w:r w:rsidRPr="00E17DB8">
        <w:rPr>
          <w:i/>
          <w:sz w:val="20"/>
          <w:lang w:eastAsia="en-US"/>
        </w:rPr>
        <w:t>Livre blanc – Une science ouverte dans une République numérique –</w:t>
      </w:r>
      <w:r w:rsidR="00FC621C">
        <w:rPr>
          <w:i/>
          <w:sz w:val="20"/>
          <w:lang w:eastAsia="en-US"/>
        </w:rPr>
        <w:t xml:space="preserve"> </w:t>
      </w:r>
      <w:bookmarkStart w:id="0" w:name="_GoBack"/>
      <w:bookmarkEnd w:id="0"/>
      <w:r w:rsidRPr="00E17DB8">
        <w:rPr>
          <w:i/>
          <w:sz w:val="20"/>
          <w:lang w:eastAsia="en-US"/>
        </w:rPr>
        <w:t>Etudes et propositions en vue de l’application de la loi</w:t>
      </w:r>
      <w:r>
        <w:rPr>
          <w:i/>
          <w:sz w:val="20"/>
          <w:lang w:eastAsia="en-US"/>
        </w:rPr>
        <w:t xml:space="preserve">. </w:t>
      </w:r>
      <w:r w:rsidRPr="00E17DB8">
        <w:rPr>
          <w:sz w:val="20"/>
          <w:lang w:eastAsia="en-US"/>
        </w:rPr>
        <w:t>96p.</w:t>
      </w:r>
      <w:r w:rsidRPr="00E17DB8">
        <w:rPr>
          <w:rFonts w:ascii="Garamond" w:hAnsi="Garamond"/>
          <w:sz w:val="20"/>
          <w:lang w:eastAsia="en-US"/>
        </w:rPr>
        <w:t xml:space="preserve"> </w:t>
      </w:r>
      <w:r w:rsidRPr="00E17DB8">
        <w:rPr>
          <w:sz w:val="20"/>
          <w:lang w:eastAsia="en-US"/>
        </w:rPr>
        <w:t>[En ligne].</w:t>
      </w:r>
      <w:r>
        <w:rPr>
          <w:sz w:val="20"/>
          <w:lang w:eastAsia="en-US"/>
        </w:rPr>
        <w:t xml:space="preserve"> Disponible à : </w:t>
      </w:r>
      <w:hyperlink r:id="rId16" w:history="1">
        <w:r w:rsidR="00825BDA" w:rsidRPr="00D212B5">
          <w:rPr>
            <w:rStyle w:val="Lienhypertexte"/>
            <w:sz w:val="20"/>
            <w:lang w:eastAsia="en-US"/>
          </w:rPr>
          <w:t>http://www.cnrs.fr/dist/z-outils/documents/livre-blanc-loi-numerique.pdf</w:t>
        </w:r>
      </w:hyperlink>
      <w:r w:rsidR="00825BDA">
        <w:rPr>
          <w:sz w:val="20"/>
          <w:lang w:eastAsia="en-US"/>
        </w:rPr>
        <w:t xml:space="preserve"> (consulté le 26 octobre 2016)</w:t>
      </w:r>
    </w:p>
    <w:p w:rsidR="00537081" w:rsidRDefault="00ED2553" w:rsidP="00537081">
      <w:pPr>
        <w:pStyle w:val="Affiliation"/>
        <w:spacing w:after="240"/>
        <w:ind w:left="454" w:hanging="454"/>
        <w:jc w:val="both"/>
        <w:rPr>
          <w:sz w:val="20"/>
          <w:lang w:eastAsia="en-US"/>
        </w:rPr>
      </w:pPr>
      <w:r w:rsidRPr="00E17DB8">
        <w:rPr>
          <w:sz w:val="20"/>
          <w:lang w:eastAsia="en-US"/>
        </w:rPr>
        <w:t>C</w:t>
      </w:r>
      <w:r w:rsidR="001654C2" w:rsidRPr="00E17DB8">
        <w:rPr>
          <w:sz w:val="20"/>
          <w:lang w:eastAsia="en-US"/>
        </w:rPr>
        <w:t>OMMISSION EUROPEENNE (2016)</w:t>
      </w:r>
      <w:r w:rsidRPr="00E17DB8">
        <w:rPr>
          <w:sz w:val="20"/>
          <w:lang w:eastAsia="en-US"/>
        </w:rPr>
        <w:t>.</w:t>
      </w:r>
      <w:r w:rsidR="002D51B0" w:rsidRPr="00E17DB8">
        <w:rPr>
          <w:lang w:eastAsia="en-US"/>
        </w:rPr>
        <w:t xml:space="preserve"> </w:t>
      </w:r>
      <w:r w:rsidR="002D51B0" w:rsidRPr="00E17DB8">
        <w:rPr>
          <w:sz w:val="20"/>
          <w:lang w:eastAsia="en-US"/>
        </w:rPr>
        <w:t xml:space="preserve">Guidelines on Open Access to Scientific Publications and </w:t>
      </w:r>
      <w:proofErr w:type="spellStart"/>
      <w:r w:rsidR="002D51B0" w:rsidRPr="00E17DB8">
        <w:rPr>
          <w:sz w:val="20"/>
          <w:lang w:eastAsia="en-US"/>
        </w:rPr>
        <w:t>Research</w:t>
      </w:r>
      <w:proofErr w:type="spellEnd"/>
      <w:r w:rsidR="002D51B0" w:rsidRPr="00E17DB8">
        <w:rPr>
          <w:sz w:val="20"/>
          <w:lang w:eastAsia="en-US"/>
        </w:rPr>
        <w:t xml:space="preserve"> Data in Horizon 2020, version </w:t>
      </w:r>
      <w:r w:rsidR="002D51B0" w:rsidRPr="001654C2">
        <w:rPr>
          <w:sz w:val="20"/>
          <w:lang w:val="en-US" w:eastAsia="en-US"/>
        </w:rPr>
        <w:t>3.1</w:t>
      </w:r>
      <w:r w:rsidR="001654C2" w:rsidRPr="001654C2">
        <w:rPr>
          <w:sz w:val="20"/>
          <w:lang w:val="en-US" w:eastAsia="en-US"/>
        </w:rPr>
        <w:t xml:space="preserve">. </w:t>
      </w:r>
      <w:r w:rsidR="001654C2" w:rsidRPr="001654C2">
        <w:rPr>
          <w:sz w:val="20"/>
          <w:lang w:eastAsia="en-US"/>
        </w:rPr>
        <w:t>Bru</w:t>
      </w:r>
      <w:r w:rsidR="001654C2">
        <w:rPr>
          <w:sz w:val="20"/>
          <w:lang w:eastAsia="en-US"/>
        </w:rPr>
        <w:t xml:space="preserve">xelles. </w:t>
      </w:r>
      <w:r w:rsidR="001654C2" w:rsidRPr="001654C2">
        <w:rPr>
          <w:sz w:val="20"/>
          <w:lang w:eastAsia="en-US"/>
        </w:rPr>
        <w:t>[En ligne] Disponible</w:t>
      </w:r>
      <w:r w:rsidR="001654C2">
        <w:rPr>
          <w:sz w:val="20"/>
          <w:lang w:eastAsia="en-US"/>
        </w:rPr>
        <w:t xml:space="preserve"> </w:t>
      </w:r>
      <w:r w:rsidR="001654C2" w:rsidRPr="001654C2">
        <w:rPr>
          <w:sz w:val="20"/>
          <w:lang w:eastAsia="en-US"/>
        </w:rPr>
        <w:t xml:space="preserve">à : </w:t>
      </w:r>
      <w:hyperlink r:id="rId17" w:history="1">
        <w:r w:rsidR="001654C2" w:rsidRPr="00D4791A">
          <w:rPr>
            <w:rStyle w:val="Lienhypertexte"/>
            <w:sz w:val="20"/>
            <w:lang w:eastAsia="en-US"/>
          </w:rPr>
          <w:t>http://ec.europa.eu/research/participants/data/ref/h2020/grants_manual/hi/oa_pilot/h2020-hi-oa-pilot-guide_en.pdf</w:t>
        </w:r>
      </w:hyperlink>
      <w:r w:rsidR="001654C2">
        <w:rPr>
          <w:sz w:val="20"/>
          <w:lang w:eastAsia="en-US"/>
        </w:rPr>
        <w:t xml:space="preserve"> (consulté le </w:t>
      </w:r>
      <w:r w:rsidR="0017452D">
        <w:rPr>
          <w:sz w:val="20"/>
          <w:lang w:eastAsia="en-US"/>
        </w:rPr>
        <w:t>1er</w:t>
      </w:r>
      <w:r w:rsidR="001654C2">
        <w:rPr>
          <w:sz w:val="20"/>
          <w:lang w:eastAsia="en-US"/>
        </w:rPr>
        <w:t xml:space="preserve"> septembre 2016)</w:t>
      </w:r>
    </w:p>
    <w:p w:rsidR="00695542" w:rsidRDefault="002D3C3F" w:rsidP="00537081">
      <w:pPr>
        <w:pStyle w:val="Affiliation"/>
        <w:spacing w:after="240"/>
        <w:ind w:left="454" w:hanging="454"/>
        <w:jc w:val="both"/>
        <w:rPr>
          <w:sz w:val="20"/>
          <w:lang w:eastAsia="en-US"/>
        </w:rPr>
      </w:pPr>
      <w:r w:rsidRPr="00136584">
        <w:rPr>
          <w:sz w:val="20"/>
          <w:lang w:eastAsia="en-US"/>
        </w:rPr>
        <w:t xml:space="preserve">FABRE, Renaud (2015). Favoriser la libre circulation des résultats de la recherche. </w:t>
      </w:r>
      <w:r w:rsidRPr="00136584">
        <w:rPr>
          <w:i/>
          <w:sz w:val="20"/>
          <w:lang w:eastAsia="en-US"/>
        </w:rPr>
        <w:t>DIST-CNRS</w:t>
      </w:r>
      <w:r w:rsidR="00136584">
        <w:rPr>
          <w:i/>
          <w:sz w:val="20"/>
          <w:lang w:eastAsia="en-US"/>
        </w:rPr>
        <w:t xml:space="preserve"> </w:t>
      </w:r>
      <w:r w:rsidRPr="00136584">
        <w:rPr>
          <w:sz w:val="20"/>
          <w:lang w:eastAsia="en-US"/>
        </w:rPr>
        <w:t xml:space="preserve">[En ligne] Disponible à : </w:t>
      </w:r>
      <w:hyperlink r:id="rId18" w:history="1">
        <w:r w:rsidR="00136584" w:rsidRPr="00D4791A">
          <w:rPr>
            <w:rStyle w:val="Lienhypertexte"/>
            <w:sz w:val="20"/>
            <w:lang w:eastAsia="en-US"/>
          </w:rPr>
          <w:t>http://www.cnrs.fr/dist/z-outils/documents/Loi%20numerique_CM_9dec2015%20.pdf</w:t>
        </w:r>
      </w:hyperlink>
      <w:r w:rsidR="00136584">
        <w:rPr>
          <w:sz w:val="20"/>
          <w:lang w:eastAsia="en-US"/>
        </w:rPr>
        <w:t xml:space="preserve"> </w:t>
      </w:r>
      <w:r w:rsidR="00063ED0">
        <w:rPr>
          <w:sz w:val="20"/>
          <w:lang w:eastAsia="en-US"/>
        </w:rPr>
        <w:t>(consulté le 1</w:t>
      </w:r>
      <w:r w:rsidR="00063ED0" w:rsidRPr="00063ED0">
        <w:rPr>
          <w:sz w:val="20"/>
          <w:vertAlign w:val="superscript"/>
          <w:lang w:eastAsia="en-US"/>
        </w:rPr>
        <w:t>er</w:t>
      </w:r>
      <w:r w:rsidR="00063ED0">
        <w:rPr>
          <w:sz w:val="20"/>
          <w:lang w:eastAsia="en-US"/>
        </w:rPr>
        <w:t xml:space="preserve"> septembre 2016)</w:t>
      </w:r>
    </w:p>
    <w:p w:rsidR="00CC37CE" w:rsidRDefault="00CC37CE" w:rsidP="00CC37CE">
      <w:pPr>
        <w:pStyle w:val="Affiliation"/>
        <w:spacing w:after="240"/>
        <w:ind w:left="454" w:hanging="454"/>
        <w:jc w:val="both"/>
        <w:rPr>
          <w:sz w:val="20"/>
          <w:lang w:eastAsia="en-US"/>
        </w:rPr>
      </w:pPr>
      <w:r w:rsidRPr="001A44E0">
        <w:rPr>
          <w:sz w:val="20"/>
          <w:lang w:val="en-US" w:eastAsia="en-US"/>
        </w:rPr>
        <w:t>FINCH</w:t>
      </w:r>
      <w:r>
        <w:rPr>
          <w:sz w:val="20"/>
          <w:lang w:val="en-US" w:eastAsia="en-US"/>
        </w:rPr>
        <w:t>,</w:t>
      </w:r>
      <w:r w:rsidRPr="001A44E0">
        <w:rPr>
          <w:sz w:val="20"/>
          <w:lang w:val="en-US" w:eastAsia="en-US"/>
        </w:rPr>
        <w:t xml:space="preserve"> </w:t>
      </w:r>
      <w:r>
        <w:rPr>
          <w:sz w:val="20"/>
          <w:lang w:val="en-US" w:eastAsia="en-US"/>
        </w:rPr>
        <w:t xml:space="preserve">Jane </w:t>
      </w:r>
      <w:r w:rsidRPr="004F5AE7">
        <w:rPr>
          <w:i/>
          <w:sz w:val="20"/>
          <w:lang w:val="en-US" w:eastAsia="en-US"/>
        </w:rPr>
        <w:t>et al.</w:t>
      </w:r>
      <w:r>
        <w:rPr>
          <w:sz w:val="20"/>
          <w:lang w:val="en-US" w:eastAsia="en-US"/>
        </w:rPr>
        <w:t xml:space="preserve"> </w:t>
      </w:r>
      <w:r w:rsidRPr="001A44E0">
        <w:rPr>
          <w:sz w:val="20"/>
          <w:lang w:val="en-US" w:eastAsia="en-US"/>
        </w:rPr>
        <w:t xml:space="preserve">(2012). </w:t>
      </w:r>
      <w:r w:rsidRPr="001A44E0">
        <w:rPr>
          <w:i/>
          <w:sz w:val="20"/>
          <w:lang w:val="en-US" w:eastAsia="en-US"/>
        </w:rPr>
        <w:t>Accessibility, sustainability, excellence: how to expand access to research publications. Report of the Working Group on Expanding Access to Published Research Fin</w:t>
      </w:r>
      <w:r>
        <w:rPr>
          <w:i/>
          <w:sz w:val="20"/>
          <w:lang w:val="en-US" w:eastAsia="en-US"/>
        </w:rPr>
        <w:t xml:space="preserve">dings. </w:t>
      </w:r>
      <w:proofErr w:type="gramStart"/>
      <w:r w:rsidRPr="004F5AE7">
        <w:rPr>
          <w:sz w:val="20"/>
          <w:lang w:eastAsia="en-US"/>
        </w:rPr>
        <w:t>140p.,</w:t>
      </w:r>
      <w:proofErr w:type="gramEnd"/>
      <w:r>
        <w:rPr>
          <w:sz w:val="20"/>
          <w:lang w:eastAsia="en-US"/>
        </w:rPr>
        <w:t xml:space="preserve"> </w:t>
      </w:r>
      <w:r w:rsidRPr="004F5AE7">
        <w:rPr>
          <w:sz w:val="20"/>
          <w:lang w:eastAsia="en-US"/>
        </w:rPr>
        <w:t xml:space="preserve">Londres. </w:t>
      </w:r>
      <w:r>
        <w:rPr>
          <w:sz w:val="20"/>
          <w:lang w:eastAsia="en-US"/>
        </w:rPr>
        <w:t xml:space="preserve">[En ligne]. </w:t>
      </w:r>
      <w:r w:rsidRPr="004F5AE7">
        <w:rPr>
          <w:sz w:val="20"/>
          <w:lang w:eastAsia="en-US"/>
        </w:rPr>
        <w:t>Disponible à:</w:t>
      </w:r>
      <w:r w:rsidRPr="00B53608">
        <w:t xml:space="preserve"> </w:t>
      </w:r>
      <w:hyperlink r:id="rId19" w:history="1">
        <w:r w:rsidRPr="00F22026">
          <w:rPr>
            <w:rStyle w:val="Lienhypertexte"/>
            <w:sz w:val="20"/>
            <w:lang w:eastAsia="en-US"/>
          </w:rPr>
          <w:t>https://www.acu.ac.uk/research-information-network/finch-report-final</w:t>
        </w:r>
      </w:hyperlink>
      <w:r>
        <w:rPr>
          <w:sz w:val="20"/>
          <w:lang w:eastAsia="en-US"/>
        </w:rPr>
        <w:t xml:space="preserve"> (consulté le 31 août 2016)</w:t>
      </w:r>
    </w:p>
    <w:p w:rsidR="00CC37CE" w:rsidRDefault="00136584" w:rsidP="00CC37CE">
      <w:pPr>
        <w:pStyle w:val="Paragraphe"/>
        <w:spacing w:after="240"/>
        <w:ind w:left="454" w:hanging="454"/>
        <w:rPr>
          <w:sz w:val="20"/>
          <w:lang w:eastAsia="en-US"/>
        </w:rPr>
      </w:pPr>
      <w:r w:rsidRPr="00136584">
        <w:rPr>
          <w:sz w:val="20"/>
          <w:lang w:eastAsia="en-US"/>
        </w:rPr>
        <w:t xml:space="preserve">KAUFMANN, Danielle (2015). </w:t>
      </w:r>
      <w:proofErr w:type="spellStart"/>
      <w:r w:rsidRPr="00136584">
        <w:rPr>
          <w:sz w:val="20"/>
          <w:lang w:eastAsia="en-US"/>
        </w:rPr>
        <w:t>Ein</w:t>
      </w:r>
      <w:proofErr w:type="spellEnd"/>
      <w:r w:rsidRPr="00136584">
        <w:rPr>
          <w:sz w:val="20"/>
          <w:lang w:eastAsia="en-US"/>
        </w:rPr>
        <w:t xml:space="preserve"> </w:t>
      </w:r>
      <w:proofErr w:type="spellStart"/>
      <w:r w:rsidRPr="00136584">
        <w:rPr>
          <w:sz w:val="20"/>
          <w:lang w:eastAsia="en-US"/>
        </w:rPr>
        <w:t>Zweitveröffentlichungsrecht</w:t>
      </w:r>
      <w:proofErr w:type="spellEnd"/>
      <w:r w:rsidRPr="00136584">
        <w:rPr>
          <w:sz w:val="20"/>
          <w:lang w:eastAsia="en-US"/>
        </w:rPr>
        <w:t xml:space="preserve"> für die Schweiz ?</w:t>
      </w:r>
      <w:r w:rsidR="00387B5E">
        <w:rPr>
          <w:sz w:val="20"/>
          <w:lang w:eastAsia="en-US"/>
        </w:rPr>
        <w:t xml:space="preserve"> </w:t>
      </w:r>
      <w:r w:rsidR="00387B5E" w:rsidRPr="00387B5E">
        <w:rPr>
          <w:i/>
          <w:sz w:val="20"/>
          <w:lang w:eastAsia="en-US"/>
        </w:rPr>
        <w:t>Open-Access-Tage Zürich 2015</w:t>
      </w:r>
      <w:r w:rsidR="00387B5E">
        <w:rPr>
          <w:i/>
          <w:sz w:val="20"/>
          <w:lang w:eastAsia="en-US"/>
        </w:rPr>
        <w:t xml:space="preserve"> </w:t>
      </w:r>
      <w:r w:rsidR="00387B5E" w:rsidRPr="00387B5E">
        <w:rPr>
          <w:sz w:val="20"/>
          <w:lang w:eastAsia="en-US"/>
        </w:rPr>
        <w:t>[En ligne]</w:t>
      </w:r>
      <w:r w:rsidR="00387B5E">
        <w:rPr>
          <w:i/>
          <w:sz w:val="20"/>
          <w:lang w:eastAsia="en-US"/>
        </w:rPr>
        <w:t xml:space="preserve"> </w:t>
      </w:r>
      <w:r w:rsidR="00387B5E" w:rsidRPr="00387B5E">
        <w:rPr>
          <w:sz w:val="20"/>
          <w:lang w:eastAsia="en-US"/>
        </w:rPr>
        <w:t>Disponible à :</w:t>
      </w:r>
      <w:r w:rsidR="00387B5E">
        <w:rPr>
          <w:i/>
          <w:sz w:val="20"/>
          <w:lang w:eastAsia="en-US"/>
        </w:rPr>
        <w:t xml:space="preserve"> </w:t>
      </w:r>
      <w:hyperlink r:id="rId20" w:history="1">
        <w:r w:rsidR="00695542" w:rsidRPr="00D4791A">
          <w:rPr>
            <w:rStyle w:val="Lienhypertexte"/>
            <w:sz w:val="20"/>
            <w:lang w:eastAsia="en-US"/>
          </w:rPr>
          <w:t>https://open-access.net/fileadmin/oat/oat15/slides/Kaufmann_Danielle_2015-09-07.pdf</w:t>
        </w:r>
      </w:hyperlink>
      <w:r w:rsidR="00387B5E">
        <w:rPr>
          <w:sz w:val="20"/>
          <w:lang w:eastAsia="en-US"/>
        </w:rPr>
        <w:t xml:space="preserve"> (consulté le 1er septembre 2016)</w:t>
      </w:r>
    </w:p>
    <w:p w:rsidR="00CC37CE" w:rsidRPr="00CC37CE" w:rsidRDefault="00CC37CE" w:rsidP="00CC37CE">
      <w:pPr>
        <w:pStyle w:val="Paragraphe"/>
        <w:spacing w:after="240"/>
        <w:ind w:left="454" w:hanging="454"/>
        <w:rPr>
          <w:b/>
          <w:sz w:val="20"/>
          <w:lang w:eastAsia="en-US"/>
        </w:rPr>
      </w:pPr>
      <w:r w:rsidRPr="00CC37CE">
        <w:rPr>
          <w:sz w:val="20"/>
          <w:lang w:val="en-US" w:eastAsia="en-US"/>
        </w:rPr>
        <w:t xml:space="preserve">LAAKSO, Mikael (2014). </w:t>
      </w:r>
      <w:r w:rsidRPr="00CC37CE">
        <w:rPr>
          <w:bCs/>
          <w:sz w:val="20"/>
          <w:lang w:val="en" w:eastAsia="en-US"/>
        </w:rPr>
        <w:t xml:space="preserve">Green open access policies of scholarly journal publishers: a study of what, when, and where self-archiving is allowed. </w:t>
      </w:r>
      <w:r w:rsidRPr="00CC37CE">
        <w:rPr>
          <w:bCs/>
          <w:sz w:val="20"/>
          <w:lang w:eastAsia="en-US"/>
        </w:rPr>
        <w:t xml:space="preserve">In </w:t>
      </w:r>
      <w:proofErr w:type="spellStart"/>
      <w:r w:rsidRPr="00CC37CE">
        <w:rPr>
          <w:bCs/>
          <w:i/>
          <w:sz w:val="20"/>
          <w:lang w:eastAsia="en-US"/>
        </w:rPr>
        <w:t>Scientometrics</w:t>
      </w:r>
      <w:proofErr w:type="spellEnd"/>
      <w:r w:rsidRPr="00CC37CE">
        <w:rPr>
          <w:bCs/>
          <w:i/>
          <w:sz w:val="20"/>
          <w:lang w:eastAsia="en-US"/>
        </w:rPr>
        <w:t xml:space="preserve">, </w:t>
      </w:r>
      <w:r w:rsidRPr="00CC37CE">
        <w:rPr>
          <w:bCs/>
          <w:sz w:val="20"/>
          <w:lang w:eastAsia="en-US"/>
        </w:rPr>
        <w:t xml:space="preserve">vol. 99, n° 2, pp. 475-494. Version manuscrit disponible à : </w:t>
      </w:r>
      <w:hyperlink r:id="rId21" w:history="1">
        <w:r w:rsidRPr="00CC37CE">
          <w:rPr>
            <w:rStyle w:val="Lienhypertexte"/>
            <w:bCs/>
            <w:sz w:val="20"/>
            <w:lang w:eastAsia="en-US"/>
          </w:rPr>
          <w:t>https://helda.helsinki.fi/handle/10138/157660</w:t>
        </w:r>
      </w:hyperlink>
      <w:r w:rsidRPr="00CC37CE">
        <w:rPr>
          <w:bCs/>
          <w:sz w:val="20"/>
          <w:lang w:eastAsia="en-US"/>
        </w:rPr>
        <w:t xml:space="preserve"> (consulté le 31 août 2016)</w:t>
      </w:r>
    </w:p>
    <w:sectPr w:rsidR="00CC37CE" w:rsidRPr="00CC37CE" w:rsidSect="00AE31A3">
      <w:type w:val="continuous"/>
      <w:pgSz w:w="9072" w:h="13608"/>
      <w:pgMar w:top="1134" w:right="1134" w:bottom="1134" w:left="1134" w:header="567"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4B3" w:rsidRDefault="005B44B3">
      <w:r>
        <w:separator/>
      </w:r>
    </w:p>
  </w:endnote>
  <w:endnote w:type="continuationSeparator" w:id="0">
    <w:p w:rsidR="005B44B3" w:rsidRDefault="005B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E5" w:rsidRDefault="00DB52E5">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E5" w:rsidRDefault="00DB52E5">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4B3" w:rsidRDefault="005B44B3">
      <w:r>
        <w:separator/>
      </w:r>
    </w:p>
  </w:footnote>
  <w:footnote w:type="continuationSeparator" w:id="0">
    <w:p w:rsidR="005B44B3" w:rsidRDefault="005B44B3">
      <w:r>
        <w:continuationSeparator/>
      </w:r>
    </w:p>
  </w:footnote>
  <w:footnote w:id="1">
    <w:p w:rsidR="008947D1" w:rsidRPr="00991821" w:rsidRDefault="008947D1" w:rsidP="001A21DC">
      <w:pPr>
        <w:pStyle w:val="Notedebasdepage"/>
        <w:rPr>
          <w:szCs w:val="18"/>
        </w:rPr>
      </w:pPr>
      <w:r w:rsidRPr="00991821">
        <w:rPr>
          <w:rStyle w:val="Appelnotedebasdep"/>
          <w:szCs w:val="18"/>
        </w:rPr>
        <w:footnoteRef/>
      </w:r>
      <w:r w:rsidRPr="00991821">
        <w:rPr>
          <w:szCs w:val="18"/>
        </w:rPr>
        <w:t xml:space="preserve"> </w:t>
      </w:r>
      <w:hyperlink r:id="rId1" w:history="1">
        <w:r w:rsidR="00BF4C63" w:rsidRPr="00AA119D">
          <w:rPr>
            <w:rStyle w:val="Lienhypertexte"/>
            <w:szCs w:val="18"/>
          </w:rPr>
          <w:t>https://www.legifrance.gouv.fr/eli/loi/2016/10/7/ECFI1524250L/jo/texte</w:t>
        </w:r>
      </w:hyperlink>
      <w:r w:rsidR="00BF4C63">
        <w:rPr>
          <w:szCs w:val="18"/>
        </w:rPr>
        <w:t xml:space="preserve"> </w:t>
      </w:r>
    </w:p>
  </w:footnote>
  <w:footnote w:id="2">
    <w:p w:rsidR="008947D1" w:rsidRPr="00991821" w:rsidRDefault="008947D1" w:rsidP="001A21DC">
      <w:pPr>
        <w:pStyle w:val="Notedebasdepage"/>
        <w:rPr>
          <w:szCs w:val="18"/>
        </w:rPr>
      </w:pPr>
      <w:r w:rsidRPr="00991821">
        <w:rPr>
          <w:rStyle w:val="Appelnotedebasdep"/>
          <w:szCs w:val="18"/>
        </w:rPr>
        <w:footnoteRef/>
      </w:r>
      <w:r w:rsidRPr="00991821">
        <w:rPr>
          <w:szCs w:val="18"/>
        </w:rPr>
        <w:t xml:space="preserve"> </w:t>
      </w:r>
      <w:hyperlink r:id="rId2" w:history="1">
        <w:r w:rsidRPr="00991821">
          <w:rPr>
            <w:rStyle w:val="Lienhypertexte"/>
            <w:szCs w:val="18"/>
          </w:rPr>
          <w:t>http://www.sherpa.ac.uk/juliet/index.php</w:t>
        </w:r>
      </w:hyperlink>
      <w:r w:rsidRPr="00991821">
        <w:rPr>
          <w:szCs w:val="18"/>
        </w:rPr>
        <w:t xml:space="preserve"> </w:t>
      </w:r>
    </w:p>
  </w:footnote>
  <w:footnote w:id="3">
    <w:p w:rsidR="008947D1" w:rsidRPr="00991821" w:rsidRDefault="008947D1" w:rsidP="001A21DC">
      <w:pPr>
        <w:pStyle w:val="Notedebasdepage"/>
        <w:rPr>
          <w:szCs w:val="18"/>
        </w:rPr>
      </w:pPr>
      <w:r w:rsidRPr="00991821">
        <w:rPr>
          <w:rStyle w:val="Appelnotedebasdep"/>
          <w:szCs w:val="18"/>
        </w:rPr>
        <w:footnoteRef/>
      </w:r>
      <w:r w:rsidRPr="00991821">
        <w:rPr>
          <w:szCs w:val="18"/>
        </w:rPr>
        <w:t xml:space="preserve"> </w:t>
      </w:r>
      <w:hyperlink r:id="rId3" w:history="1">
        <w:r w:rsidRPr="00991821">
          <w:rPr>
            <w:rStyle w:val="Lienhypertexte"/>
            <w:szCs w:val="18"/>
          </w:rPr>
          <w:t>http://oa2020.org</w:t>
        </w:r>
      </w:hyperlink>
      <w:r w:rsidRPr="00991821">
        <w:rPr>
          <w:szCs w:val="18"/>
        </w:rPr>
        <w:t xml:space="preserve">  </w:t>
      </w:r>
    </w:p>
  </w:footnote>
  <w:footnote w:id="4">
    <w:p w:rsidR="008947D1" w:rsidRDefault="008947D1" w:rsidP="001A21DC">
      <w:pPr>
        <w:pStyle w:val="Notedebasdepage"/>
      </w:pPr>
      <w:r w:rsidRPr="00991821">
        <w:rPr>
          <w:rStyle w:val="Appelnotedebasdep"/>
          <w:szCs w:val="18"/>
        </w:rPr>
        <w:footnoteRef/>
      </w:r>
      <w:r w:rsidRPr="00991821">
        <w:rPr>
          <w:szCs w:val="18"/>
        </w:rPr>
        <w:t xml:space="preserve"> </w:t>
      </w:r>
      <w:hyperlink r:id="rId4" w:history="1">
        <w:r w:rsidRPr="00991821">
          <w:rPr>
            <w:rStyle w:val="Lienhypertexte"/>
            <w:szCs w:val="18"/>
          </w:rPr>
          <w:t>https://roarmap.eprints.org</w:t>
        </w:r>
      </w:hyperlink>
      <w:r>
        <w:t xml:space="preserve"> </w:t>
      </w:r>
    </w:p>
  </w:footnote>
  <w:footnote w:id="5">
    <w:p w:rsidR="008947D1" w:rsidRPr="00991821" w:rsidRDefault="008947D1" w:rsidP="001A21DC">
      <w:pPr>
        <w:pStyle w:val="Notedebasdepage"/>
      </w:pPr>
      <w:r w:rsidRPr="00991821">
        <w:rPr>
          <w:rStyle w:val="Appelnotedebasdep"/>
          <w:szCs w:val="18"/>
        </w:rPr>
        <w:footnoteRef/>
      </w:r>
      <w:r w:rsidRPr="00991821">
        <w:t xml:space="preserve"> Traditionnellement la recherche et l'enseignement sont étroitement liés en Allemagne.</w:t>
      </w:r>
    </w:p>
  </w:footnote>
  <w:footnote w:id="6">
    <w:p w:rsidR="008947D1" w:rsidRPr="00AD35B8" w:rsidRDefault="008947D1" w:rsidP="001A21DC">
      <w:pPr>
        <w:pStyle w:val="Notedebasdepage"/>
        <w:rPr>
          <w:lang w:val="en-US"/>
        </w:rPr>
      </w:pPr>
      <w:r w:rsidRPr="00991821">
        <w:rPr>
          <w:rStyle w:val="Appelnotedebasdep"/>
          <w:szCs w:val="18"/>
        </w:rPr>
        <w:footnoteRef/>
      </w:r>
      <w:r w:rsidRPr="00991821">
        <w:rPr>
          <w:lang w:val="en-US"/>
        </w:rPr>
        <w:t xml:space="preserve"> SPARC Author Addendum : </w:t>
      </w:r>
      <w:hyperlink r:id="rId5" w:anchor="addendum" w:history="1">
        <w:r w:rsidRPr="00991821">
          <w:rPr>
            <w:rStyle w:val="Lienhypertexte"/>
            <w:szCs w:val="18"/>
            <w:lang w:val="en-US"/>
          </w:rPr>
          <w:t>http://sparcopen.org/our-work/author-rights/#addendum</w:t>
        </w:r>
      </w:hyperlink>
      <w:r>
        <w:rPr>
          <w:lang w:val="en-US"/>
        </w:rPr>
        <w:t xml:space="preserve"> </w:t>
      </w:r>
    </w:p>
  </w:footnote>
  <w:footnote w:id="7">
    <w:p w:rsidR="008947D1" w:rsidRPr="00991821" w:rsidRDefault="008947D1" w:rsidP="001A21DC">
      <w:pPr>
        <w:pStyle w:val="Notedebasdepage"/>
      </w:pPr>
      <w:r w:rsidRPr="00991821">
        <w:rPr>
          <w:rStyle w:val="Appelnotedebasdep"/>
          <w:szCs w:val="18"/>
        </w:rPr>
        <w:footnoteRef/>
      </w:r>
      <w:r w:rsidRPr="00991821">
        <w:t xml:space="preserve"> Exemple de politique : </w:t>
      </w:r>
      <w:hyperlink r:id="rId6" w:history="1">
        <w:r w:rsidRPr="00991821">
          <w:rPr>
            <w:rStyle w:val="Lienhypertexte"/>
            <w:szCs w:val="18"/>
          </w:rPr>
          <w:t>http://www.limnology-journal.org/images/stories/copyright/limn_copyright.pdf</w:t>
        </w:r>
      </w:hyperlink>
      <w:r w:rsidRPr="00991821">
        <w:t xml:space="preserve"> </w:t>
      </w:r>
    </w:p>
  </w:footnote>
  <w:footnote w:id="8">
    <w:p w:rsidR="008947D1" w:rsidRDefault="008947D1" w:rsidP="001A21DC">
      <w:pPr>
        <w:pStyle w:val="Notedebasdepage"/>
      </w:pPr>
      <w:r w:rsidRPr="00991821">
        <w:rPr>
          <w:rStyle w:val="Appelnotedebasdep"/>
          <w:szCs w:val="18"/>
        </w:rPr>
        <w:footnoteRef/>
      </w:r>
      <w:r w:rsidRPr="00991821">
        <w:rPr>
          <w:szCs w:val="18"/>
        </w:rPr>
        <w:t xml:space="preserve"> </w:t>
      </w:r>
      <w:hyperlink r:id="rId7" w:history="1">
        <w:r w:rsidRPr="00991821">
          <w:rPr>
            <w:rStyle w:val="Lienhypertexte"/>
            <w:szCs w:val="18"/>
          </w:rPr>
          <w:t>www.sherpa.ac.uk/romeo</w:t>
        </w:r>
      </w:hyperlink>
      <w:r>
        <w:t xml:space="preserve"> </w:t>
      </w:r>
    </w:p>
  </w:footnote>
  <w:footnote w:id="9">
    <w:p w:rsidR="00923463" w:rsidRDefault="00923463">
      <w:pPr>
        <w:pStyle w:val="Notedebasdepage"/>
      </w:pPr>
      <w:r>
        <w:rPr>
          <w:rStyle w:val="Appelnotedebasdep"/>
        </w:rPr>
        <w:footnoteRef/>
      </w:r>
      <w:r>
        <w:t xml:space="preserve"> </w:t>
      </w:r>
      <w:r w:rsidR="004455A1">
        <w:t>A</w:t>
      </w:r>
      <w:r w:rsidR="00DC404D">
        <w:t>près une consultation publique riche en contributions, malgré sa durée très courte, voir</w:t>
      </w:r>
      <w:r w:rsidR="00AC5567">
        <w:t xml:space="preserve"> </w:t>
      </w:r>
      <w:hyperlink r:id="rId8" w:history="1">
        <w:r w:rsidR="00AC5567" w:rsidRPr="00D4791A">
          <w:rPr>
            <w:rStyle w:val="Lienhypertexte"/>
          </w:rPr>
          <w:t>www.parlament.gv.at/PAKT/VHG/XXV/ME/ME_00132/index.shtml</w:t>
        </w:r>
      </w:hyperlink>
      <w:r w:rsidR="00AC5567">
        <w:t xml:space="preserve"> </w:t>
      </w:r>
      <w:r w:rsidR="00DC404D">
        <w:t xml:space="preserve"> </w:t>
      </w:r>
    </w:p>
  </w:footnote>
  <w:footnote w:id="10">
    <w:p w:rsidR="001A21DC" w:rsidRPr="001A21DC" w:rsidRDefault="001A21DC" w:rsidP="001A21DC">
      <w:pPr>
        <w:pStyle w:val="Notedebasdepage"/>
      </w:pPr>
      <w:r w:rsidRPr="001A21DC">
        <w:rPr>
          <w:rStyle w:val="Appelnotedebasdep"/>
        </w:rPr>
        <w:footnoteRef/>
      </w:r>
      <w:r w:rsidRPr="001A21DC">
        <w:t xml:space="preserve"> </w:t>
      </w:r>
      <w:hyperlink r:id="rId9" w:history="1">
        <w:r w:rsidRPr="001A21DC">
          <w:rPr>
            <w:rStyle w:val="Lienhypertexte"/>
          </w:rPr>
          <w:t>www.allianzinitiative.de/de/handlungsfelder/rechtliche-rahmenbedingungen/faq-zvr.html</w:t>
        </w:r>
      </w:hyperlink>
      <w:r w:rsidRPr="001A21DC">
        <w:t xml:space="preserve">  </w:t>
      </w:r>
    </w:p>
  </w:footnote>
  <w:footnote w:id="11">
    <w:p w:rsidR="008947D1" w:rsidRPr="00991821" w:rsidRDefault="008947D1" w:rsidP="001A21DC">
      <w:pPr>
        <w:pStyle w:val="Notedebasdepage"/>
        <w:rPr>
          <w:szCs w:val="18"/>
        </w:rPr>
      </w:pPr>
      <w:r w:rsidRPr="00991821">
        <w:rPr>
          <w:rStyle w:val="Appelnotedebasdep"/>
          <w:szCs w:val="18"/>
        </w:rPr>
        <w:footnoteRef/>
      </w:r>
      <w:r w:rsidRPr="00991821">
        <w:rPr>
          <w:szCs w:val="18"/>
        </w:rPr>
        <w:t xml:space="preserve"> </w:t>
      </w:r>
      <w:hyperlink r:id="rId10" w:history="1">
        <w:r w:rsidRPr="00991821">
          <w:rPr>
            <w:rStyle w:val="Lienhypertexte"/>
            <w:szCs w:val="18"/>
          </w:rPr>
          <w:t>https://www.republique-numerique.fr/project/projet-de-loi-numerique/synthesis/synthese-1</w:t>
        </w:r>
      </w:hyperlink>
      <w:r w:rsidRPr="00991821">
        <w:rPr>
          <w:szCs w:val="18"/>
        </w:rPr>
        <w:t xml:space="preserve"> </w:t>
      </w:r>
    </w:p>
  </w:footnote>
  <w:footnote w:id="12">
    <w:p w:rsidR="008947D1" w:rsidRPr="00991821" w:rsidRDefault="008947D1" w:rsidP="001A21DC">
      <w:pPr>
        <w:pStyle w:val="Notedebasdepage"/>
      </w:pPr>
      <w:r w:rsidRPr="00991821">
        <w:rPr>
          <w:rStyle w:val="Appelnotedebasdep"/>
          <w:szCs w:val="18"/>
        </w:rPr>
        <w:footnoteRef/>
      </w:r>
      <w:r w:rsidRPr="00991821">
        <w:t xml:space="preserve"> Dans sa réponse à la contribution du GFII, le Gouvernement annonce un « plan d’accompagnement aux revues de SHS ». </w:t>
      </w:r>
    </w:p>
  </w:footnote>
  <w:footnote w:id="13">
    <w:p w:rsidR="008947D1" w:rsidRDefault="008947D1" w:rsidP="001A21DC">
      <w:pPr>
        <w:pStyle w:val="Notedebasdepage"/>
      </w:pPr>
      <w:r w:rsidRPr="00991821">
        <w:rPr>
          <w:rStyle w:val="Appelnotedebasdep"/>
          <w:szCs w:val="18"/>
        </w:rPr>
        <w:footnoteRef/>
      </w:r>
      <w:r w:rsidRPr="00991821">
        <w:rPr>
          <w:szCs w:val="18"/>
        </w:rPr>
        <w:t xml:space="preserve"> </w:t>
      </w:r>
      <w:hyperlink r:id="rId11" w:history="1">
        <w:r w:rsidRPr="00991821">
          <w:rPr>
            <w:rStyle w:val="Lienhypertexte"/>
            <w:szCs w:val="18"/>
          </w:rPr>
          <w:t>https://heloise.ccsd.cnrs.fr</w:t>
        </w:r>
      </w:hyperlink>
      <w:r>
        <w:t xml:space="preserve"> </w:t>
      </w:r>
    </w:p>
  </w:footnote>
  <w:footnote w:id="14">
    <w:p w:rsidR="008947D1" w:rsidRPr="00991821" w:rsidRDefault="008947D1" w:rsidP="001A21DC">
      <w:pPr>
        <w:pStyle w:val="Notedebasdepage"/>
      </w:pPr>
      <w:r w:rsidRPr="00991821">
        <w:rPr>
          <w:rStyle w:val="Appelnotedebasdep"/>
          <w:szCs w:val="18"/>
        </w:rPr>
        <w:footnoteRef/>
      </w:r>
      <w:r w:rsidRPr="00991821">
        <w:t xml:space="preserve"> Les FAQ </w:t>
      </w:r>
      <w:r w:rsidR="001A21DC">
        <w:t xml:space="preserve">déjà signalées </w:t>
      </w:r>
      <w:r w:rsidRPr="00991821">
        <w:t>sur le droit allemand y consacrent une partie importante </w:t>
      </w:r>
      <w:r w:rsidRPr="00991821">
        <w:rPr>
          <w:i/>
        </w:rPr>
        <w:t>(en allemand</w:t>
      </w:r>
      <w:r w:rsidRPr="00991821">
        <w:t xml:space="preserve"> </w:t>
      </w:r>
      <w:r w:rsidRPr="00991821">
        <w:rPr>
          <w:i/>
        </w:rPr>
        <w:t>uniquement)</w:t>
      </w:r>
      <w:r w:rsidRPr="00991821">
        <w:t>:</w:t>
      </w:r>
      <w:r w:rsidR="008E5B0C">
        <w:t xml:space="preserve"> </w:t>
      </w:r>
      <w:hyperlink r:id="rId12" w:history="1">
        <w:r w:rsidR="001A21DC" w:rsidRPr="001A21DC">
          <w:rPr>
            <w:rStyle w:val="Lienhypertexte"/>
          </w:rPr>
          <w:t>www.allianzinitiative.de/de/handlungsfelder/rechtliche-rahmenbedingungen/faq-zvr.html</w:t>
        </w:r>
      </w:hyperlink>
      <w:r w:rsidR="001A21DC" w:rsidRPr="001A21DC">
        <w:t xml:space="preserve">  </w:t>
      </w:r>
    </w:p>
  </w:footnote>
  <w:footnote w:id="15">
    <w:p w:rsidR="008947D1" w:rsidRDefault="008947D1" w:rsidP="001A21DC">
      <w:pPr>
        <w:pStyle w:val="Notedebasdepage"/>
      </w:pPr>
      <w:r w:rsidRPr="00991821">
        <w:rPr>
          <w:rStyle w:val="Appelnotedebasdep"/>
          <w:szCs w:val="18"/>
        </w:rPr>
        <w:footnoteRef/>
      </w:r>
      <w:r w:rsidRPr="00991821">
        <w:t xml:space="preserve"> Notamment le règlement dit « Rome I », sur la loi applicable aux obligations contractuelles</w:t>
      </w:r>
    </w:p>
  </w:footnote>
  <w:footnote w:id="16">
    <w:p w:rsidR="008947D1" w:rsidRPr="00991821" w:rsidRDefault="008947D1" w:rsidP="001A21DC">
      <w:pPr>
        <w:pStyle w:val="Notedebasdepage"/>
      </w:pPr>
      <w:r w:rsidRPr="00991821">
        <w:rPr>
          <w:rStyle w:val="Appelnotedebasdep"/>
          <w:szCs w:val="18"/>
        </w:rPr>
        <w:footnoteRef/>
      </w:r>
      <w:r w:rsidRPr="00991821">
        <w:t xml:space="preserve"> Licence-type développée par l’EEAR : </w:t>
      </w:r>
      <w:hyperlink r:id="rId13" w:history="1">
        <w:r w:rsidRPr="00991821">
          <w:rPr>
            <w:rStyle w:val="Lienhypertexte"/>
            <w:szCs w:val="18"/>
          </w:rPr>
          <w:t>www.bit.ly/1BMOH3a</w:t>
        </w:r>
      </w:hyperlink>
      <w:r w:rsidRPr="00991821">
        <w:t xml:space="preserve"> </w:t>
      </w:r>
    </w:p>
  </w:footnote>
  <w:footnote w:id="17">
    <w:p w:rsidR="00200A56" w:rsidRDefault="00200A56">
      <w:pPr>
        <w:pStyle w:val="Notedebasdepage"/>
      </w:pPr>
      <w:r>
        <w:rPr>
          <w:rStyle w:val="Appelnotedebasdep"/>
        </w:rPr>
        <w:footnoteRef/>
      </w:r>
      <w:r>
        <w:t xml:space="preserve"> </w:t>
      </w:r>
      <w:r w:rsidR="00956D37">
        <w:t xml:space="preserve">L’essentiel du document porte sur </w:t>
      </w:r>
      <w:r w:rsidR="00E605B0">
        <w:t>l’introduction du TDM (</w:t>
      </w:r>
      <w:proofErr w:type="spellStart"/>
      <w:r w:rsidR="00E605B0" w:rsidRPr="00E605B0">
        <w:rPr>
          <w:i/>
        </w:rPr>
        <w:t>text</w:t>
      </w:r>
      <w:proofErr w:type="spellEnd"/>
      <w:r w:rsidR="00E605B0" w:rsidRPr="00E605B0">
        <w:rPr>
          <w:i/>
        </w:rPr>
        <w:t xml:space="preserve"> and data </w:t>
      </w:r>
      <w:proofErr w:type="spellStart"/>
      <w:r w:rsidR="00E605B0" w:rsidRPr="00E605B0">
        <w:rPr>
          <w:i/>
        </w:rPr>
        <w:t>mining</w:t>
      </w:r>
      <w:proofErr w:type="spellEnd"/>
      <w:r w:rsidR="00E605B0">
        <w:t>) dans la loi numérique – article 38</w:t>
      </w:r>
      <w:r w:rsidR="007C2B87">
        <w:t>.</w:t>
      </w:r>
    </w:p>
  </w:footnote>
  <w:footnote w:id="18">
    <w:p w:rsidR="00A461EB" w:rsidRDefault="00A461EB" w:rsidP="00A461EB">
      <w:pPr>
        <w:pStyle w:val="Notedebasdepage"/>
      </w:pPr>
      <w:r>
        <w:rPr>
          <w:rStyle w:val="Appelnotedebasdep"/>
        </w:rPr>
        <w:footnoteRef/>
      </w:r>
      <w:r>
        <w:t xml:space="preserve"> Contribution sur la liste de discussion « </w:t>
      </w:r>
      <w:proofErr w:type="spellStart"/>
      <w:r>
        <w:t>accesouvert</w:t>
      </w:r>
      <w:proofErr w:type="spellEnd"/>
      <w:r>
        <w:t> », avril 2013</w:t>
      </w:r>
      <w:r w:rsidR="0052256F">
        <w:t>,</w:t>
      </w:r>
      <w:r w:rsidR="0052256F" w:rsidRPr="0052256F">
        <w:t xml:space="preserve"> </w:t>
      </w:r>
      <w:hyperlink r:id="rId14" w:history="1">
        <w:r w:rsidR="0052256F" w:rsidRPr="00434E0D">
          <w:rPr>
            <w:rStyle w:val="Lienhypertexte"/>
          </w:rPr>
          <w:t>https://groupes.renater.fr/sympa/arc/accesouvert/2013-04/msg00038.html</w:t>
        </w:r>
      </w:hyperlink>
      <w:r w:rsidR="0052256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E5" w:rsidRDefault="00DB52E5" w:rsidP="00253AAE">
    <w:pPr>
      <w:tabs>
        <w:tab w:val="left" w:pos="2985"/>
        <w:tab w:val="right" w:pos="6521"/>
      </w:tabs>
      <w:rPr>
        <w:i/>
        <w:iCs/>
        <w:sz w:val="18"/>
      </w:rPr>
    </w:pPr>
    <w:r>
      <w:rPr>
        <w:i/>
        <w:iCs/>
        <w:sz w:val="18"/>
      </w:rPr>
      <w:tab/>
    </w:r>
    <w:r w:rsidR="00253AAE">
      <w:rPr>
        <w:i/>
        <w:iCs/>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2E5" w:rsidRDefault="00DB52E5" w:rsidP="007C248D">
    <w:pPr>
      <w:tabs>
        <w:tab w:val="center" w:pos="3686"/>
        <w:tab w:val="right" w:pos="7513"/>
      </w:tabs>
      <w:jc w:val="right"/>
      <w:rPr>
        <w:b/>
        <w:bCs/>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D54FA"/>
    <w:multiLevelType w:val="multilevel"/>
    <w:tmpl w:val="94E0F06A"/>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fr-FR" w:vendorID="65" w:dllVersion="514" w:checkStyle="1"/>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_Doc_Font_List_Name" w:val="_x0001__x0001__x0008_Garamond_x0005_Times_x0009_Helvetica"/>
    <w:docVar w:name="EN_Lib_Name_List_Name" w:val="11REF-IHM-BIB"/>
    <w:docVar w:name="EN_Main_Body_Style_Name" w:val="Habilitation 2"/>
  </w:docVars>
  <w:rsids>
    <w:rsidRoot w:val="009A2B84"/>
    <w:rsid w:val="000029C9"/>
    <w:rsid w:val="000108CE"/>
    <w:rsid w:val="00017992"/>
    <w:rsid w:val="00043524"/>
    <w:rsid w:val="00050155"/>
    <w:rsid w:val="0005464E"/>
    <w:rsid w:val="000628B5"/>
    <w:rsid w:val="00063ED0"/>
    <w:rsid w:val="0006601E"/>
    <w:rsid w:val="000707D6"/>
    <w:rsid w:val="0009601C"/>
    <w:rsid w:val="00097251"/>
    <w:rsid w:val="000A5BF0"/>
    <w:rsid w:val="000A73D4"/>
    <w:rsid w:val="000A75BB"/>
    <w:rsid w:val="000C147F"/>
    <w:rsid w:val="000E72DF"/>
    <w:rsid w:val="000F2431"/>
    <w:rsid w:val="000F40B0"/>
    <w:rsid w:val="001156AE"/>
    <w:rsid w:val="0012242C"/>
    <w:rsid w:val="0012365D"/>
    <w:rsid w:val="00135F63"/>
    <w:rsid w:val="00136584"/>
    <w:rsid w:val="001378B9"/>
    <w:rsid w:val="001552FB"/>
    <w:rsid w:val="00155A10"/>
    <w:rsid w:val="0016157C"/>
    <w:rsid w:val="001641AF"/>
    <w:rsid w:val="001654C2"/>
    <w:rsid w:val="00172187"/>
    <w:rsid w:val="0017452D"/>
    <w:rsid w:val="00191363"/>
    <w:rsid w:val="00195445"/>
    <w:rsid w:val="001A21DC"/>
    <w:rsid w:val="001A44E0"/>
    <w:rsid w:val="001C1D68"/>
    <w:rsid w:val="001F085F"/>
    <w:rsid w:val="001F750B"/>
    <w:rsid w:val="00200A56"/>
    <w:rsid w:val="002032F0"/>
    <w:rsid w:val="00203AE4"/>
    <w:rsid w:val="00212FCE"/>
    <w:rsid w:val="00220DA1"/>
    <w:rsid w:val="002246D5"/>
    <w:rsid w:val="00231E46"/>
    <w:rsid w:val="00237982"/>
    <w:rsid w:val="00240B4E"/>
    <w:rsid w:val="00246531"/>
    <w:rsid w:val="00253AAE"/>
    <w:rsid w:val="00284A12"/>
    <w:rsid w:val="00295D31"/>
    <w:rsid w:val="002968D0"/>
    <w:rsid w:val="002A1329"/>
    <w:rsid w:val="002D3C3F"/>
    <w:rsid w:val="002D51B0"/>
    <w:rsid w:val="002F2DCC"/>
    <w:rsid w:val="002F55AB"/>
    <w:rsid w:val="00302070"/>
    <w:rsid w:val="0031566C"/>
    <w:rsid w:val="003252FF"/>
    <w:rsid w:val="00330964"/>
    <w:rsid w:val="00337C04"/>
    <w:rsid w:val="00337DCB"/>
    <w:rsid w:val="003459B2"/>
    <w:rsid w:val="0035496E"/>
    <w:rsid w:val="00376B7C"/>
    <w:rsid w:val="00387481"/>
    <w:rsid w:val="00387B5E"/>
    <w:rsid w:val="003C1F9D"/>
    <w:rsid w:val="003F6DF1"/>
    <w:rsid w:val="004008C7"/>
    <w:rsid w:val="00400E00"/>
    <w:rsid w:val="00402A2C"/>
    <w:rsid w:val="0042658E"/>
    <w:rsid w:val="004455A1"/>
    <w:rsid w:val="00445B61"/>
    <w:rsid w:val="00494374"/>
    <w:rsid w:val="004A62D3"/>
    <w:rsid w:val="004E2D70"/>
    <w:rsid w:val="004F09A8"/>
    <w:rsid w:val="004F3509"/>
    <w:rsid w:val="004F5AE7"/>
    <w:rsid w:val="00521C7C"/>
    <w:rsid w:val="0052256F"/>
    <w:rsid w:val="00526938"/>
    <w:rsid w:val="00537081"/>
    <w:rsid w:val="0054038E"/>
    <w:rsid w:val="00551493"/>
    <w:rsid w:val="0056538D"/>
    <w:rsid w:val="00566CEF"/>
    <w:rsid w:val="005A3470"/>
    <w:rsid w:val="005A4F43"/>
    <w:rsid w:val="005B39F6"/>
    <w:rsid w:val="005B44B3"/>
    <w:rsid w:val="005C36AB"/>
    <w:rsid w:val="005D0E5C"/>
    <w:rsid w:val="005D7CB4"/>
    <w:rsid w:val="005F4094"/>
    <w:rsid w:val="00611A0A"/>
    <w:rsid w:val="006433F0"/>
    <w:rsid w:val="00645F2D"/>
    <w:rsid w:val="00647763"/>
    <w:rsid w:val="00671926"/>
    <w:rsid w:val="0067398B"/>
    <w:rsid w:val="006777C4"/>
    <w:rsid w:val="006831C1"/>
    <w:rsid w:val="00686011"/>
    <w:rsid w:val="006916A2"/>
    <w:rsid w:val="00694249"/>
    <w:rsid w:val="00695542"/>
    <w:rsid w:val="00696094"/>
    <w:rsid w:val="006E5588"/>
    <w:rsid w:val="00706358"/>
    <w:rsid w:val="007211B4"/>
    <w:rsid w:val="00726AB7"/>
    <w:rsid w:val="00727A74"/>
    <w:rsid w:val="00741A71"/>
    <w:rsid w:val="00764F8B"/>
    <w:rsid w:val="0077310D"/>
    <w:rsid w:val="0077752E"/>
    <w:rsid w:val="007A1592"/>
    <w:rsid w:val="007B4131"/>
    <w:rsid w:val="007C248D"/>
    <w:rsid w:val="007C2B87"/>
    <w:rsid w:val="007D31A8"/>
    <w:rsid w:val="007D388F"/>
    <w:rsid w:val="007E69BF"/>
    <w:rsid w:val="008022F0"/>
    <w:rsid w:val="00803CEF"/>
    <w:rsid w:val="00825BDA"/>
    <w:rsid w:val="00836AFA"/>
    <w:rsid w:val="00842260"/>
    <w:rsid w:val="0084343E"/>
    <w:rsid w:val="00846431"/>
    <w:rsid w:val="00850257"/>
    <w:rsid w:val="00866782"/>
    <w:rsid w:val="00875754"/>
    <w:rsid w:val="00885F05"/>
    <w:rsid w:val="00886F49"/>
    <w:rsid w:val="008947D1"/>
    <w:rsid w:val="008A356A"/>
    <w:rsid w:val="008C57C5"/>
    <w:rsid w:val="008D370F"/>
    <w:rsid w:val="008E5B0C"/>
    <w:rsid w:val="00923463"/>
    <w:rsid w:val="009325FC"/>
    <w:rsid w:val="0094625B"/>
    <w:rsid w:val="00956D37"/>
    <w:rsid w:val="009A2B84"/>
    <w:rsid w:val="009A57CD"/>
    <w:rsid w:val="009D5F90"/>
    <w:rsid w:val="009F27BA"/>
    <w:rsid w:val="009F34D8"/>
    <w:rsid w:val="00A05BD6"/>
    <w:rsid w:val="00A32201"/>
    <w:rsid w:val="00A34EA0"/>
    <w:rsid w:val="00A461EB"/>
    <w:rsid w:val="00A61541"/>
    <w:rsid w:val="00A90812"/>
    <w:rsid w:val="00A9652E"/>
    <w:rsid w:val="00AB54B9"/>
    <w:rsid w:val="00AC114B"/>
    <w:rsid w:val="00AC4BBA"/>
    <w:rsid w:val="00AC5567"/>
    <w:rsid w:val="00AC67A6"/>
    <w:rsid w:val="00AD584D"/>
    <w:rsid w:val="00AD5BB1"/>
    <w:rsid w:val="00AE31A3"/>
    <w:rsid w:val="00AE7D98"/>
    <w:rsid w:val="00B10182"/>
    <w:rsid w:val="00B15A48"/>
    <w:rsid w:val="00B22BA3"/>
    <w:rsid w:val="00B53608"/>
    <w:rsid w:val="00B64DB0"/>
    <w:rsid w:val="00B75D6A"/>
    <w:rsid w:val="00B91AC0"/>
    <w:rsid w:val="00B91EA8"/>
    <w:rsid w:val="00BA4CE7"/>
    <w:rsid w:val="00BA5350"/>
    <w:rsid w:val="00BB7511"/>
    <w:rsid w:val="00BC71F0"/>
    <w:rsid w:val="00BD758D"/>
    <w:rsid w:val="00BE1969"/>
    <w:rsid w:val="00BF4C63"/>
    <w:rsid w:val="00C11663"/>
    <w:rsid w:val="00C36AC2"/>
    <w:rsid w:val="00C4097B"/>
    <w:rsid w:val="00C5199C"/>
    <w:rsid w:val="00C52D1E"/>
    <w:rsid w:val="00C6637B"/>
    <w:rsid w:val="00C66AFB"/>
    <w:rsid w:val="00C836A3"/>
    <w:rsid w:val="00C96F6D"/>
    <w:rsid w:val="00CA4580"/>
    <w:rsid w:val="00CA7282"/>
    <w:rsid w:val="00CC3189"/>
    <w:rsid w:val="00CC37CE"/>
    <w:rsid w:val="00CD45BB"/>
    <w:rsid w:val="00CE36EC"/>
    <w:rsid w:val="00CE5ABA"/>
    <w:rsid w:val="00CE6023"/>
    <w:rsid w:val="00D63BC9"/>
    <w:rsid w:val="00D93F29"/>
    <w:rsid w:val="00DA6400"/>
    <w:rsid w:val="00DB52E5"/>
    <w:rsid w:val="00DC404D"/>
    <w:rsid w:val="00DE66BB"/>
    <w:rsid w:val="00DF57C8"/>
    <w:rsid w:val="00DF5866"/>
    <w:rsid w:val="00E17DB8"/>
    <w:rsid w:val="00E26A03"/>
    <w:rsid w:val="00E52CCD"/>
    <w:rsid w:val="00E605B0"/>
    <w:rsid w:val="00E7137B"/>
    <w:rsid w:val="00E72652"/>
    <w:rsid w:val="00E8188A"/>
    <w:rsid w:val="00E818B5"/>
    <w:rsid w:val="00E87FCE"/>
    <w:rsid w:val="00EA0260"/>
    <w:rsid w:val="00EA4B0B"/>
    <w:rsid w:val="00EA6591"/>
    <w:rsid w:val="00ED09F1"/>
    <w:rsid w:val="00ED21CD"/>
    <w:rsid w:val="00ED2553"/>
    <w:rsid w:val="00EE588E"/>
    <w:rsid w:val="00F06B12"/>
    <w:rsid w:val="00F105F2"/>
    <w:rsid w:val="00F164DE"/>
    <w:rsid w:val="00F47B4E"/>
    <w:rsid w:val="00F47F82"/>
    <w:rsid w:val="00F53BCB"/>
    <w:rsid w:val="00F71356"/>
    <w:rsid w:val="00F7593A"/>
    <w:rsid w:val="00F80E4A"/>
    <w:rsid w:val="00F82EA8"/>
    <w:rsid w:val="00FA3DD4"/>
    <w:rsid w:val="00FC3C29"/>
    <w:rsid w:val="00FC621C"/>
    <w:rsid w:val="00FD4793"/>
    <w:rsid w:val="00FD5213"/>
    <w:rsid w:val="00FD562D"/>
    <w:rsid w:val="00FE2062"/>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5351708-D8F0-4EA1-AD7A-B69C7AB45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20" w:lineRule="exact"/>
      <w:jc w:val="both"/>
    </w:pPr>
    <w:rPr>
      <w:rFonts w:ascii="Garamond" w:hAnsi="Garamond"/>
    </w:rPr>
  </w:style>
  <w:style w:type="paragraph" w:styleId="Titre1">
    <w:name w:val="heading 1"/>
    <w:basedOn w:val="Normal"/>
    <w:next w:val="Paragraphe"/>
    <w:rsid w:val="00246531"/>
    <w:pPr>
      <w:keepNext/>
      <w:numPr>
        <w:numId w:val="1"/>
      </w:numPr>
      <w:tabs>
        <w:tab w:val="clear" w:pos="432"/>
        <w:tab w:val="num" w:pos="397"/>
      </w:tabs>
      <w:spacing w:before="240" w:after="120"/>
      <w:jc w:val="left"/>
      <w:outlineLvl w:val="0"/>
    </w:pPr>
    <w:rPr>
      <w:rFonts w:ascii="Bodoni MT" w:hAnsi="Bodoni MT"/>
      <w:b/>
      <w:kern w:val="28"/>
      <w:sz w:val="24"/>
    </w:rPr>
  </w:style>
  <w:style w:type="paragraph" w:styleId="Titre2">
    <w:name w:val="heading 2"/>
    <w:basedOn w:val="Normal"/>
    <w:next w:val="Paragraphe"/>
    <w:qFormat/>
    <w:rsid w:val="00246531"/>
    <w:pPr>
      <w:keepNext/>
      <w:numPr>
        <w:ilvl w:val="1"/>
        <w:numId w:val="1"/>
      </w:numPr>
      <w:tabs>
        <w:tab w:val="clear" w:pos="576"/>
        <w:tab w:val="num" w:pos="397"/>
      </w:tabs>
      <w:spacing w:before="120"/>
      <w:ind w:left="578" w:hanging="578"/>
      <w:jc w:val="left"/>
      <w:outlineLvl w:val="1"/>
    </w:pPr>
    <w:rPr>
      <w:rFonts w:ascii="Bodoni MT" w:hAnsi="Bodoni MT"/>
      <w:b/>
      <w:sz w:val="22"/>
    </w:rPr>
  </w:style>
  <w:style w:type="paragraph" w:styleId="Titre3">
    <w:name w:val="heading 3"/>
    <w:basedOn w:val="Normal"/>
    <w:next w:val="Paragraphe"/>
    <w:qFormat/>
    <w:rsid w:val="0016157C"/>
    <w:pPr>
      <w:keepNext/>
      <w:spacing w:before="120"/>
      <w:outlineLvl w:val="2"/>
    </w:pPr>
    <w:rPr>
      <w:rFonts w:ascii="Bodoni MT" w:hAnsi="Bodoni MT"/>
      <w:b/>
      <w:i/>
      <w:sz w:val="22"/>
    </w:rPr>
  </w:style>
  <w:style w:type="paragraph" w:styleId="Titre4">
    <w:name w:val="heading 4"/>
    <w:basedOn w:val="Normal"/>
    <w:next w:val="Paragraphe"/>
    <w:qFormat/>
    <w:rsid w:val="00B64DB0"/>
    <w:pPr>
      <w:keepNext/>
      <w:spacing w:before="120"/>
      <w:outlineLvl w:val="3"/>
    </w:pPr>
    <w:rPr>
      <w:rFonts w:ascii="Bodoni MT" w:hAnsi="Bodoni MT"/>
      <w:b/>
      <w:sz w:val="22"/>
    </w:rPr>
  </w:style>
  <w:style w:type="paragraph" w:styleId="Titre5">
    <w:name w:val="heading 5"/>
    <w:basedOn w:val="Normal"/>
    <w:next w:val="Normal"/>
    <w:qFormat/>
    <w:pPr>
      <w:keepNext/>
      <w:spacing w:before="240" w:after="60"/>
      <w:outlineLvl w:val="4"/>
    </w:pPr>
    <w:rPr>
      <w:b/>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i/>
    </w:rPr>
  </w:style>
  <w:style w:type="paragraph" w:styleId="Titre8">
    <w:name w:val="heading 8"/>
    <w:basedOn w:val="Normal"/>
    <w:next w:val="Normal"/>
    <w:qFormat/>
    <w:pPr>
      <w:spacing w:before="240" w:after="60"/>
      <w:outlineLvl w:val="7"/>
    </w:pPr>
    <w:rPr>
      <w:i/>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rsid w:val="0005464E"/>
    <w:pPr>
      <w:spacing w:before="80"/>
    </w:pPr>
    <w:rPr>
      <w:rFonts w:ascii="Bodoni MT" w:hAnsi="Bodoni MT"/>
      <w:sz w:val="22"/>
    </w:rPr>
  </w:style>
  <w:style w:type="paragraph" w:styleId="Lgende">
    <w:name w:val="caption"/>
    <w:basedOn w:val="Normal"/>
    <w:next w:val="Normal"/>
    <w:qFormat/>
    <w:rsid w:val="00B64DB0"/>
    <w:pPr>
      <w:spacing w:after="120"/>
      <w:jc w:val="center"/>
    </w:pPr>
    <w:rPr>
      <w:rFonts w:ascii="Bodoni MT" w:eastAsia="Times New Roman" w:hAnsi="Bodoni MT"/>
      <w:i/>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autoRedefine/>
    <w:semiHidden/>
    <w:rsid w:val="001A21DC"/>
    <w:pPr>
      <w:spacing w:line="240" w:lineRule="auto"/>
      <w:jc w:val="left"/>
    </w:pPr>
    <w:rPr>
      <w:rFonts w:ascii="Bodoni MT" w:eastAsia="Times New Roman" w:hAnsi="Bodoni MT"/>
      <w:sz w:val="18"/>
    </w:rPr>
  </w:style>
  <w:style w:type="character" w:styleId="Numrodepage">
    <w:name w:val="page number"/>
    <w:basedOn w:val="Policepardfaut"/>
  </w:style>
  <w:style w:type="paragraph" w:customStyle="1" w:styleId="Illustration">
    <w:name w:val="Illustration"/>
    <w:basedOn w:val="Paragraphe"/>
    <w:pPr>
      <w:spacing w:before="120" w:after="120"/>
      <w:jc w:val="center"/>
    </w:pPr>
  </w:style>
  <w:style w:type="paragraph" w:customStyle="1" w:styleId="Remerciement">
    <w:name w:val="Remerciement"/>
    <w:basedOn w:val="Paragraphe"/>
    <w:rPr>
      <w:i/>
    </w:rPr>
  </w:style>
  <w:style w:type="paragraph" w:customStyle="1" w:styleId="Code">
    <w:name w:val="Code"/>
    <w:basedOn w:val="Normal"/>
    <w:pPr>
      <w:pBdr>
        <w:top w:val="single" w:sz="6" w:space="1" w:color="auto"/>
        <w:left w:val="single" w:sz="6" w:space="4" w:color="auto"/>
        <w:bottom w:val="single" w:sz="6" w:space="1" w:color="auto"/>
        <w:right w:val="single" w:sz="6" w:space="4" w:color="auto"/>
      </w:pBdr>
      <w:ind w:left="851"/>
      <w:jc w:val="left"/>
    </w:pPr>
    <w:rPr>
      <w:rFonts w:ascii="Courier New" w:eastAsia="Times New Roman" w:hAnsi="Courier New"/>
      <w:sz w:val="16"/>
    </w:rPr>
  </w:style>
  <w:style w:type="paragraph" w:customStyle="1" w:styleId="Bibiographie">
    <w:name w:val="Bibiographie"/>
    <w:basedOn w:val="Normal"/>
    <w:rsid w:val="00B64DB0"/>
    <w:pPr>
      <w:spacing w:before="120"/>
      <w:ind w:left="454" w:hanging="454"/>
    </w:pPr>
    <w:rPr>
      <w:rFonts w:ascii="Bodoni MT" w:hAnsi="Bodoni MT"/>
    </w:rPr>
  </w:style>
  <w:style w:type="character" w:styleId="Lienhypertexte">
    <w:name w:val="Hyperlink"/>
    <w:rPr>
      <w:color w:val="0000FF"/>
      <w:u w:val="single"/>
    </w:rPr>
  </w:style>
  <w:style w:type="paragraph" w:styleId="Titre">
    <w:name w:val="Title"/>
    <w:basedOn w:val="Normal"/>
    <w:next w:val="Sous-titre"/>
    <w:qFormat/>
    <w:rsid w:val="0016157C"/>
    <w:pPr>
      <w:spacing w:before="720" w:after="240" w:line="320" w:lineRule="exact"/>
      <w:jc w:val="center"/>
    </w:pPr>
    <w:rPr>
      <w:rFonts w:ascii="Bodoni MT" w:hAnsi="Bodoni MT"/>
      <w:b/>
      <w:sz w:val="40"/>
    </w:rPr>
  </w:style>
  <w:style w:type="paragraph" w:styleId="Sous-titre">
    <w:name w:val="Subtitle"/>
    <w:basedOn w:val="Normal"/>
    <w:next w:val="Auteurs"/>
    <w:qFormat/>
    <w:rsid w:val="0016157C"/>
    <w:pPr>
      <w:spacing w:before="120" w:after="240"/>
      <w:jc w:val="center"/>
    </w:pPr>
    <w:rPr>
      <w:rFonts w:ascii="Bodoni MT" w:hAnsi="Bodoni MT"/>
      <w:b/>
      <w:i/>
      <w:sz w:val="28"/>
    </w:rPr>
  </w:style>
  <w:style w:type="paragraph" w:customStyle="1" w:styleId="Auteurs">
    <w:name w:val="Auteurs"/>
    <w:basedOn w:val="Sous-titre"/>
    <w:next w:val="Affiliation"/>
    <w:pPr>
      <w:spacing w:before="240" w:after="120"/>
    </w:pPr>
    <w:rPr>
      <w:i w:val="0"/>
      <w:sz w:val="20"/>
    </w:rPr>
  </w:style>
  <w:style w:type="paragraph" w:customStyle="1" w:styleId="Affiliation">
    <w:name w:val="Affiliation"/>
    <w:basedOn w:val="Sous-titre"/>
    <w:next w:val="Rsum"/>
    <w:rsid w:val="0016157C"/>
    <w:pPr>
      <w:spacing w:after="0"/>
      <w:jc w:val="right"/>
    </w:pPr>
    <w:rPr>
      <w:b w:val="0"/>
      <w:i w:val="0"/>
      <w:sz w:val="22"/>
    </w:rPr>
  </w:style>
  <w:style w:type="paragraph" w:customStyle="1" w:styleId="Rsum">
    <w:name w:val="Résumé"/>
    <w:basedOn w:val="Paragraphe"/>
    <w:next w:val="Motsclefs"/>
    <w:rsid w:val="00B64DB0"/>
    <w:pPr>
      <w:spacing w:before="480"/>
    </w:pPr>
  </w:style>
  <w:style w:type="paragraph" w:customStyle="1" w:styleId="Motsclefs">
    <w:name w:val="Mots clefs"/>
    <w:basedOn w:val="Paragraphe"/>
    <w:next w:val="Paragraphe"/>
    <w:rsid w:val="00B64DB0"/>
    <w:pPr>
      <w:spacing w:after="240"/>
    </w:pPr>
  </w:style>
  <w:style w:type="character" w:customStyle="1" w:styleId="eudoraheader">
    <w:name w:val="eudoraheader"/>
    <w:basedOn w:val="Policepardfaut"/>
  </w:style>
  <w:style w:type="character" w:styleId="Appelnotedebasdep">
    <w:name w:val="footnote reference"/>
    <w:uiPriority w:val="99"/>
    <w:rsid w:val="00A61541"/>
    <w:rPr>
      <w:vertAlign w:val="superscript"/>
    </w:rPr>
  </w:style>
  <w:style w:type="paragraph" w:customStyle="1" w:styleId="StyleRsumGras">
    <w:name w:val="Style Résumé + Gras"/>
    <w:basedOn w:val="Rsum"/>
    <w:rsid w:val="00B64DB0"/>
    <w:rPr>
      <w:b/>
      <w:bCs/>
    </w:rPr>
  </w:style>
  <w:style w:type="paragraph" w:customStyle="1" w:styleId="StyleRsumAvant025cmAvant6pt">
    <w:name w:val="Style Résumé + Avant : 025 cm Avant : 6 pt"/>
    <w:basedOn w:val="Rsum"/>
    <w:rsid w:val="00B64DB0"/>
    <w:pPr>
      <w:spacing w:before="120"/>
      <w:ind w:left="142"/>
    </w:pPr>
    <w:rPr>
      <w:rFonts w:eastAsia="Times New Roman"/>
    </w:rPr>
  </w:style>
  <w:style w:type="paragraph" w:customStyle="1" w:styleId="StyleMotsclefsGras">
    <w:name w:val="Style Mots clefs + Gras"/>
    <w:basedOn w:val="Motsclefs"/>
    <w:rsid w:val="00B64DB0"/>
    <w:rPr>
      <w:b/>
      <w:bCs/>
    </w:rPr>
  </w:style>
  <w:style w:type="paragraph" w:customStyle="1" w:styleId="StyleLgendeGrasNonItalique">
    <w:name w:val="Style Légende + Gras Non Italique"/>
    <w:basedOn w:val="Lgende"/>
    <w:rsid w:val="0016157C"/>
    <w:rPr>
      <w:b/>
      <w:bCs/>
      <w:i w:val="0"/>
      <w:iCs/>
      <w:sz w:val="22"/>
    </w:rPr>
  </w:style>
  <w:style w:type="character" w:styleId="Lienhypertextesuivivisit">
    <w:name w:val="FollowedHyperlink"/>
    <w:rsid w:val="0094625B"/>
    <w:rPr>
      <w:color w:val="954F72"/>
      <w:u w:val="single"/>
    </w:rPr>
  </w:style>
  <w:style w:type="character" w:customStyle="1" w:styleId="PieddepageCar">
    <w:name w:val="Pied de page Car"/>
    <w:basedOn w:val="Policepardfaut"/>
    <w:link w:val="Pieddepage"/>
    <w:uiPriority w:val="99"/>
    <w:rsid w:val="004F09A8"/>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1931">
      <w:bodyDiv w:val="1"/>
      <w:marLeft w:val="0"/>
      <w:marRight w:val="0"/>
      <w:marTop w:val="0"/>
      <w:marBottom w:val="0"/>
      <w:divBdr>
        <w:top w:val="none" w:sz="0" w:space="0" w:color="auto"/>
        <w:left w:val="none" w:sz="0" w:space="0" w:color="auto"/>
        <w:bottom w:val="none" w:sz="0" w:space="0" w:color="auto"/>
        <w:right w:val="none" w:sz="0" w:space="0" w:color="auto"/>
      </w:divBdr>
    </w:div>
    <w:div w:id="341519204">
      <w:bodyDiv w:val="1"/>
      <w:marLeft w:val="0"/>
      <w:marRight w:val="0"/>
      <w:marTop w:val="0"/>
      <w:marBottom w:val="0"/>
      <w:divBdr>
        <w:top w:val="none" w:sz="0" w:space="0" w:color="auto"/>
        <w:left w:val="none" w:sz="0" w:space="0" w:color="auto"/>
        <w:bottom w:val="none" w:sz="0" w:space="0" w:color="auto"/>
        <w:right w:val="none" w:sz="0" w:space="0" w:color="auto"/>
      </w:divBdr>
      <w:divsChild>
        <w:div w:id="1930843043">
          <w:marLeft w:val="0"/>
          <w:marRight w:val="0"/>
          <w:marTop w:val="0"/>
          <w:marBottom w:val="0"/>
          <w:divBdr>
            <w:top w:val="none" w:sz="0" w:space="0" w:color="auto"/>
            <w:left w:val="none" w:sz="0" w:space="0" w:color="auto"/>
            <w:bottom w:val="none" w:sz="0" w:space="0" w:color="auto"/>
            <w:right w:val="none" w:sz="0" w:space="0" w:color="auto"/>
          </w:divBdr>
        </w:div>
        <w:div w:id="831529960">
          <w:marLeft w:val="0"/>
          <w:marRight w:val="0"/>
          <w:marTop w:val="0"/>
          <w:marBottom w:val="0"/>
          <w:divBdr>
            <w:top w:val="none" w:sz="0" w:space="0" w:color="auto"/>
            <w:left w:val="none" w:sz="0" w:space="0" w:color="auto"/>
            <w:bottom w:val="none" w:sz="0" w:space="0" w:color="auto"/>
            <w:right w:val="none" w:sz="0" w:space="0" w:color="auto"/>
          </w:divBdr>
        </w:div>
      </w:divsChild>
    </w:div>
    <w:div w:id="795442921">
      <w:bodyDiv w:val="1"/>
      <w:marLeft w:val="0"/>
      <w:marRight w:val="0"/>
      <w:marTop w:val="0"/>
      <w:marBottom w:val="0"/>
      <w:divBdr>
        <w:top w:val="none" w:sz="0" w:space="0" w:color="auto"/>
        <w:left w:val="none" w:sz="0" w:space="0" w:color="auto"/>
        <w:bottom w:val="none" w:sz="0" w:space="0" w:color="auto"/>
        <w:right w:val="none" w:sz="0" w:space="0" w:color="auto"/>
      </w:divBdr>
    </w:div>
    <w:div w:id="896404609">
      <w:bodyDiv w:val="1"/>
      <w:marLeft w:val="0"/>
      <w:marRight w:val="0"/>
      <w:marTop w:val="0"/>
      <w:marBottom w:val="0"/>
      <w:divBdr>
        <w:top w:val="none" w:sz="0" w:space="0" w:color="auto"/>
        <w:left w:val="none" w:sz="0" w:space="0" w:color="auto"/>
        <w:bottom w:val="none" w:sz="0" w:space="0" w:color="auto"/>
        <w:right w:val="none" w:sz="0" w:space="0" w:color="auto"/>
      </w:divBdr>
      <w:divsChild>
        <w:div w:id="1220894501">
          <w:marLeft w:val="0"/>
          <w:marRight w:val="0"/>
          <w:marTop w:val="0"/>
          <w:marBottom w:val="0"/>
          <w:divBdr>
            <w:top w:val="none" w:sz="0" w:space="0" w:color="auto"/>
            <w:left w:val="none" w:sz="0" w:space="0" w:color="auto"/>
            <w:bottom w:val="none" w:sz="0" w:space="0" w:color="auto"/>
            <w:right w:val="none" w:sz="0" w:space="0" w:color="auto"/>
          </w:divBdr>
        </w:div>
        <w:div w:id="714239931">
          <w:marLeft w:val="0"/>
          <w:marRight w:val="0"/>
          <w:marTop w:val="0"/>
          <w:marBottom w:val="0"/>
          <w:divBdr>
            <w:top w:val="none" w:sz="0" w:space="0" w:color="auto"/>
            <w:left w:val="none" w:sz="0" w:space="0" w:color="auto"/>
            <w:bottom w:val="none" w:sz="0" w:space="0" w:color="auto"/>
            <w:right w:val="none" w:sz="0" w:space="0" w:color="auto"/>
          </w:divBdr>
        </w:div>
        <w:div w:id="1948924789">
          <w:marLeft w:val="0"/>
          <w:marRight w:val="0"/>
          <w:marTop w:val="0"/>
          <w:marBottom w:val="0"/>
          <w:divBdr>
            <w:top w:val="none" w:sz="0" w:space="0" w:color="auto"/>
            <w:left w:val="none" w:sz="0" w:space="0" w:color="auto"/>
            <w:bottom w:val="none" w:sz="0" w:space="0" w:color="auto"/>
            <w:right w:val="none" w:sz="0" w:space="0" w:color="auto"/>
          </w:divBdr>
        </w:div>
        <w:div w:id="154346416">
          <w:marLeft w:val="0"/>
          <w:marRight w:val="0"/>
          <w:marTop w:val="0"/>
          <w:marBottom w:val="0"/>
          <w:divBdr>
            <w:top w:val="none" w:sz="0" w:space="0" w:color="auto"/>
            <w:left w:val="none" w:sz="0" w:space="0" w:color="auto"/>
            <w:bottom w:val="none" w:sz="0" w:space="0" w:color="auto"/>
            <w:right w:val="none" w:sz="0" w:space="0" w:color="auto"/>
          </w:divBdr>
        </w:div>
        <w:div w:id="659771082">
          <w:marLeft w:val="0"/>
          <w:marRight w:val="0"/>
          <w:marTop w:val="0"/>
          <w:marBottom w:val="0"/>
          <w:divBdr>
            <w:top w:val="none" w:sz="0" w:space="0" w:color="auto"/>
            <w:left w:val="none" w:sz="0" w:space="0" w:color="auto"/>
            <w:bottom w:val="none" w:sz="0" w:space="0" w:color="auto"/>
            <w:right w:val="none" w:sz="0" w:space="0" w:color="auto"/>
          </w:divBdr>
        </w:div>
      </w:divsChild>
    </w:div>
    <w:div w:id="1318069014">
      <w:bodyDiv w:val="1"/>
      <w:marLeft w:val="0"/>
      <w:marRight w:val="0"/>
      <w:marTop w:val="0"/>
      <w:marBottom w:val="0"/>
      <w:divBdr>
        <w:top w:val="none" w:sz="0" w:space="0" w:color="auto"/>
        <w:left w:val="none" w:sz="0" w:space="0" w:color="auto"/>
        <w:bottom w:val="none" w:sz="0" w:space="0" w:color="auto"/>
        <w:right w:val="none" w:sz="0" w:space="0" w:color="auto"/>
      </w:divBdr>
    </w:div>
    <w:div w:id="1416197286">
      <w:bodyDiv w:val="1"/>
      <w:marLeft w:val="0"/>
      <w:marRight w:val="0"/>
      <w:marTop w:val="0"/>
      <w:marBottom w:val="0"/>
      <w:divBdr>
        <w:top w:val="none" w:sz="0" w:space="0" w:color="auto"/>
        <w:left w:val="none" w:sz="0" w:space="0" w:color="auto"/>
        <w:bottom w:val="none" w:sz="0" w:space="0" w:color="auto"/>
        <w:right w:val="none" w:sz="0" w:space="0" w:color="auto"/>
      </w:divBdr>
      <w:divsChild>
        <w:div w:id="1202980611">
          <w:marLeft w:val="0"/>
          <w:marRight w:val="0"/>
          <w:marTop w:val="0"/>
          <w:marBottom w:val="0"/>
          <w:divBdr>
            <w:top w:val="none" w:sz="0" w:space="0" w:color="auto"/>
            <w:left w:val="none" w:sz="0" w:space="0" w:color="auto"/>
            <w:bottom w:val="none" w:sz="0" w:space="0" w:color="auto"/>
            <w:right w:val="none" w:sz="0" w:space="0" w:color="auto"/>
          </w:divBdr>
        </w:div>
        <w:div w:id="2118791430">
          <w:marLeft w:val="0"/>
          <w:marRight w:val="0"/>
          <w:marTop w:val="0"/>
          <w:marBottom w:val="0"/>
          <w:divBdr>
            <w:top w:val="none" w:sz="0" w:space="0" w:color="auto"/>
            <w:left w:val="none" w:sz="0" w:space="0" w:color="auto"/>
            <w:bottom w:val="none" w:sz="0" w:space="0" w:color="auto"/>
            <w:right w:val="none" w:sz="0" w:space="0" w:color="auto"/>
          </w:divBdr>
        </w:div>
      </w:divsChild>
    </w:div>
    <w:div w:id="1814981878">
      <w:bodyDiv w:val="1"/>
      <w:marLeft w:val="0"/>
      <w:marRight w:val="0"/>
      <w:marTop w:val="0"/>
      <w:marBottom w:val="0"/>
      <w:divBdr>
        <w:top w:val="none" w:sz="0" w:space="0" w:color="auto"/>
        <w:left w:val="none" w:sz="0" w:space="0" w:color="auto"/>
        <w:bottom w:val="none" w:sz="0" w:space="0" w:color="auto"/>
        <w:right w:val="none" w:sz="0" w:space="0" w:color="auto"/>
      </w:divBdr>
      <w:divsChild>
        <w:div w:id="1282423069">
          <w:marLeft w:val="0"/>
          <w:marRight w:val="0"/>
          <w:marTop w:val="0"/>
          <w:marBottom w:val="0"/>
          <w:divBdr>
            <w:top w:val="none" w:sz="0" w:space="0" w:color="auto"/>
            <w:left w:val="none" w:sz="0" w:space="0" w:color="auto"/>
            <w:bottom w:val="none" w:sz="0" w:space="0" w:color="auto"/>
            <w:right w:val="none" w:sz="0" w:space="0" w:color="auto"/>
          </w:divBdr>
        </w:div>
        <w:div w:id="848103337">
          <w:marLeft w:val="0"/>
          <w:marRight w:val="0"/>
          <w:marTop w:val="0"/>
          <w:marBottom w:val="0"/>
          <w:divBdr>
            <w:top w:val="none" w:sz="0" w:space="0" w:color="auto"/>
            <w:left w:val="none" w:sz="0" w:space="0" w:color="auto"/>
            <w:bottom w:val="none" w:sz="0" w:space="0" w:color="auto"/>
            <w:right w:val="none" w:sz="0" w:space="0" w:color="auto"/>
          </w:divBdr>
        </w:div>
        <w:div w:id="1617061241">
          <w:marLeft w:val="0"/>
          <w:marRight w:val="0"/>
          <w:marTop w:val="0"/>
          <w:marBottom w:val="0"/>
          <w:divBdr>
            <w:top w:val="none" w:sz="0" w:space="0" w:color="auto"/>
            <w:left w:val="none" w:sz="0" w:space="0" w:color="auto"/>
            <w:bottom w:val="none" w:sz="0" w:space="0" w:color="auto"/>
            <w:right w:val="none" w:sz="0" w:space="0" w:color="auto"/>
          </w:divBdr>
        </w:div>
      </w:divsChild>
    </w:div>
    <w:div w:id="1883590152">
      <w:bodyDiv w:val="1"/>
      <w:marLeft w:val="0"/>
      <w:marRight w:val="0"/>
      <w:marTop w:val="0"/>
      <w:marBottom w:val="0"/>
      <w:divBdr>
        <w:top w:val="none" w:sz="0" w:space="0" w:color="auto"/>
        <w:left w:val="none" w:sz="0" w:space="0" w:color="auto"/>
        <w:bottom w:val="none" w:sz="0" w:space="0" w:color="auto"/>
        <w:right w:val="none" w:sz="0" w:space="0" w:color="auto"/>
      </w:divBdr>
      <w:divsChild>
        <w:div w:id="904796221">
          <w:marLeft w:val="0"/>
          <w:marRight w:val="0"/>
          <w:marTop w:val="0"/>
          <w:marBottom w:val="0"/>
          <w:divBdr>
            <w:top w:val="none" w:sz="0" w:space="0" w:color="auto"/>
            <w:left w:val="none" w:sz="0" w:space="0" w:color="auto"/>
            <w:bottom w:val="none" w:sz="0" w:space="0" w:color="auto"/>
            <w:right w:val="none" w:sz="0" w:space="0" w:color="auto"/>
          </w:divBdr>
        </w:div>
        <w:div w:id="149687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pen-access.net/fileadmin/oat/oat15/slides/Blechl_Guido_2015-09-07.pdf" TargetMode="External"/><Relationship Id="rId18" Type="http://schemas.openxmlformats.org/officeDocument/2006/relationships/hyperlink" Target="http://www.cnrs.fr/dist/z-outils/documents/Loi%20numerique_CM_9dec2015%20.pdf" TargetMode="External"/><Relationship Id="rId3" Type="http://schemas.openxmlformats.org/officeDocument/2006/relationships/styles" Target="styles.xml"/><Relationship Id="rId21" Type="http://schemas.openxmlformats.org/officeDocument/2006/relationships/hyperlink" Target="https://helda.helsinki.fi/handle/10138/157660" TargetMode="External"/><Relationship Id="rId7" Type="http://schemas.openxmlformats.org/officeDocument/2006/relationships/endnotes" Target="endnotes.xml"/><Relationship Id="rId12" Type="http://schemas.openxmlformats.org/officeDocument/2006/relationships/hyperlink" Target="http://doi.org/10.1629/uksg.292" TargetMode="External"/><Relationship Id="rId17" Type="http://schemas.openxmlformats.org/officeDocument/2006/relationships/hyperlink" Target="http://ec.europa.eu/research/participants/data/ref/h2020/grants_manual/hi/oa_pilot/h2020-hi-oa-pilot-guide_en.pdf" TargetMode="External"/><Relationship Id="rId2" Type="http://schemas.openxmlformats.org/officeDocument/2006/relationships/numbering" Target="numbering.xml"/><Relationship Id="rId16" Type="http://schemas.openxmlformats.org/officeDocument/2006/relationships/hyperlink" Target="http://www.cnrs.fr/dist/z-outils/documents/livre-blanc-loi-numerique.pdf" TargetMode="External"/><Relationship Id="rId20" Type="http://schemas.openxmlformats.org/officeDocument/2006/relationships/hyperlink" Target="https://open-access.net/fileadmin/oat/oat15/slides/Kaufmann_Danielle_2015-09-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lmholtz.de/wissenschaft_und_gesellschaft/steuerfinanziertes-wissen-fuer-alle-5355"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acu.ac.uk/research-information-network/finch-report-fin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pic.awi.de/35491/1/ZUM.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parlament.gv.at/PAKT/VHG/XXV/ME/ME_00132/index.shtml" TargetMode="External"/><Relationship Id="rId13" Type="http://schemas.openxmlformats.org/officeDocument/2006/relationships/hyperlink" Target="http://www.bit.ly/1BMOH3a" TargetMode="External"/><Relationship Id="rId3" Type="http://schemas.openxmlformats.org/officeDocument/2006/relationships/hyperlink" Target="http://oa2020.org" TargetMode="External"/><Relationship Id="rId7" Type="http://schemas.openxmlformats.org/officeDocument/2006/relationships/hyperlink" Target="http://www.sherpa.ac.uk/romeo" TargetMode="External"/><Relationship Id="rId12" Type="http://schemas.openxmlformats.org/officeDocument/2006/relationships/hyperlink" Target="http://www.allianzinitiative.de/de/handlungsfelder/rechtliche-rahmenbedingungen/faq-zvr.html" TargetMode="External"/><Relationship Id="rId2" Type="http://schemas.openxmlformats.org/officeDocument/2006/relationships/hyperlink" Target="http://www.sherpa.ac.uk/juliet/index.php" TargetMode="External"/><Relationship Id="rId1" Type="http://schemas.openxmlformats.org/officeDocument/2006/relationships/hyperlink" Target="https://www.legifrance.gouv.fr/eli/loi/2016/10/7/ECFI1524250L/jo/texte" TargetMode="External"/><Relationship Id="rId6" Type="http://schemas.openxmlformats.org/officeDocument/2006/relationships/hyperlink" Target="http://www.limnology-journal.org/images/stories/copyright/limn_copyright.pdf" TargetMode="External"/><Relationship Id="rId11" Type="http://schemas.openxmlformats.org/officeDocument/2006/relationships/hyperlink" Target="https://heloise.ccsd.cnrs.fr" TargetMode="External"/><Relationship Id="rId5" Type="http://schemas.openxmlformats.org/officeDocument/2006/relationships/hyperlink" Target="http://sparcopen.org/our-work/author-rights/" TargetMode="External"/><Relationship Id="rId10" Type="http://schemas.openxmlformats.org/officeDocument/2006/relationships/hyperlink" Target="https://www.republique-numerique.fr/project/projet-de-loi-numerique/synthesis/synthese-1" TargetMode="External"/><Relationship Id="rId4" Type="http://schemas.openxmlformats.org/officeDocument/2006/relationships/hyperlink" Target="https://roarmap.eprints.org" TargetMode="External"/><Relationship Id="rId9" Type="http://schemas.openxmlformats.org/officeDocument/2006/relationships/hyperlink" Target="http://www.allianzinitiative.de/de/handlungsfelder/rechtliche-rahmenbedingungen/faq-zvr.html" TargetMode="External"/><Relationship Id="rId14" Type="http://schemas.openxmlformats.org/officeDocument/2006/relationships/hyperlink" Target="https://groupes.renater.fr/sympa/arc/accesouvert/2013-04/msg000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articles\rihm01\FormatRIHM.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8D733E6-EB8A-4F80-953B-04799E3E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FormatRIHM.dot</Template>
  <TotalTime>169</TotalTime>
  <Pages>14</Pages>
  <Words>4434</Words>
  <Characters>24387</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Titre</vt:lpstr>
      <vt:lpstr>Titre</vt:lpstr>
    </vt:vector>
  </TitlesOfParts>
  <Company>Université Paris8</Company>
  <LinksUpToDate>false</LinksUpToDate>
  <CharactersWithSpaces>28764</CharactersWithSpaces>
  <SharedDoc>false</SharedDoc>
  <HLinks>
    <vt:vector size="12" baseType="variant">
      <vt:variant>
        <vt:i4>1507405</vt:i4>
      </vt:variant>
      <vt:variant>
        <vt:i4>3</vt:i4>
      </vt:variant>
      <vt:variant>
        <vt:i4>0</vt:i4>
      </vt:variant>
      <vt:variant>
        <vt:i4>5</vt:i4>
      </vt:variant>
      <vt:variant>
        <vt:lpwstr>http://icoa2016.sciencesconf.org/</vt:lpwstr>
      </vt:variant>
      <vt:variant>
        <vt:lpwstr/>
      </vt:variant>
      <vt:variant>
        <vt:i4>8061039</vt:i4>
      </vt:variant>
      <vt:variant>
        <vt:i4>0</vt:i4>
      </vt:variant>
      <vt:variant>
        <vt:i4>0</vt:i4>
      </vt:variant>
      <vt:variant>
        <vt:i4>5</vt:i4>
      </vt:variant>
      <vt:variant>
        <vt:lpwstr>http://www.parcoursnumeriques-pum.ca/le-libre-acces-et-la-grande-conversation-scientifique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
  <dc:creator>KZ</dc:creator>
  <cp:keywords/>
  <cp:lastModifiedBy>GRUTTEMEIER, Herbert</cp:lastModifiedBy>
  <cp:revision>19</cp:revision>
  <cp:lastPrinted>2016-10-26T12:21:00Z</cp:lastPrinted>
  <dcterms:created xsi:type="dcterms:W3CDTF">2016-10-26T07:37:00Z</dcterms:created>
  <dcterms:modified xsi:type="dcterms:W3CDTF">2016-10-26T13:05:00Z</dcterms:modified>
</cp:coreProperties>
</file>