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55A" w:rsidRPr="00986996" w:rsidRDefault="00EE085E" w:rsidP="00EA455A">
      <w:pPr>
        <w:pStyle w:val="Ttulo"/>
        <w:rPr>
          <w:sz w:val="36"/>
          <w:szCs w:val="36"/>
        </w:rPr>
      </w:pPr>
      <w:r>
        <w:rPr>
          <w:sz w:val="36"/>
          <w:szCs w:val="36"/>
        </w:rPr>
        <w:t xml:space="preserve">DE </w:t>
      </w:r>
      <w:r w:rsidR="00EA455A">
        <w:rPr>
          <w:sz w:val="36"/>
          <w:szCs w:val="36"/>
        </w:rPr>
        <w:t>SUPERVIVIENTE</w:t>
      </w:r>
      <w:r>
        <w:rPr>
          <w:sz w:val="36"/>
          <w:szCs w:val="36"/>
        </w:rPr>
        <w:t>S</w:t>
      </w:r>
      <w:r w:rsidR="00EA455A">
        <w:rPr>
          <w:sz w:val="36"/>
          <w:szCs w:val="36"/>
        </w:rPr>
        <w:t xml:space="preserve"> </w:t>
      </w:r>
      <w:r>
        <w:rPr>
          <w:sz w:val="36"/>
          <w:szCs w:val="36"/>
        </w:rPr>
        <w:t xml:space="preserve">A EMPODERADAS: REFORZAR LA </w:t>
      </w:r>
      <w:r w:rsidRPr="002C406C">
        <w:rPr>
          <w:i/>
          <w:sz w:val="36"/>
          <w:szCs w:val="36"/>
        </w:rPr>
        <w:t xml:space="preserve">BIBLIOTECA </w:t>
      </w:r>
      <w:r w:rsidR="002C406C" w:rsidRPr="002C406C">
        <w:rPr>
          <w:i/>
          <w:sz w:val="36"/>
          <w:szCs w:val="36"/>
        </w:rPr>
        <w:t>SOCIAL</w:t>
      </w:r>
    </w:p>
    <w:p w:rsidR="00EA455A" w:rsidRDefault="00EA455A" w:rsidP="00EA455A">
      <w:pPr>
        <w:spacing w:after="120" w:line="240" w:lineRule="auto"/>
        <w:rPr>
          <w:sz w:val="24"/>
          <w:szCs w:val="24"/>
        </w:rPr>
      </w:pPr>
      <w:r>
        <w:rPr>
          <w:sz w:val="24"/>
          <w:szCs w:val="24"/>
        </w:rPr>
        <w:t xml:space="preserve">José-Antonio Gómez-Hernández </w:t>
      </w:r>
    </w:p>
    <w:p w:rsidR="00EA455A" w:rsidRDefault="00EA455A" w:rsidP="00EA455A">
      <w:pPr>
        <w:spacing w:after="120" w:line="240" w:lineRule="auto"/>
        <w:rPr>
          <w:sz w:val="24"/>
          <w:szCs w:val="24"/>
        </w:rPr>
      </w:pPr>
      <w:r>
        <w:rPr>
          <w:sz w:val="24"/>
          <w:szCs w:val="24"/>
        </w:rPr>
        <w:t>Facultad de Comunicación y Documentación de la Universidad de Murcia. Campus de Espinardo, 30071-Murcia. jgomez@um.es</w:t>
      </w:r>
    </w:p>
    <w:p w:rsidR="000E2319" w:rsidRDefault="000E2319" w:rsidP="000E2319"/>
    <w:p w:rsidR="000E2319" w:rsidRDefault="000E2319" w:rsidP="000E2319">
      <w:r>
        <w:t>Resumen: Analizamos el concepto de “biblioteca social” y la situación de la biblioteca pública en España tras la crisis económica para plantear medidas que contribuyan al refuerzo de su reconocimiento y apoyo social. Entre ellas destacamos la vinculación con los objetivos comunitarios en el contexto y global (como los de la Agenda 2030 de Naciones Unidas).</w:t>
      </w:r>
    </w:p>
    <w:p w:rsidR="000E2319" w:rsidRDefault="000E2319" w:rsidP="000E2319">
      <w:r>
        <w:t>Abstract:  We analyze the “social library” concept and the nowadays state of the public library system in Spain after the Economic Crisis, in orte to propose initiatives that contribute to empowering them and increasing their social support. Among these actions we highlight the linkage with community objectives in context and global (such as those of the United Nations Agenda 2030).</w:t>
      </w:r>
    </w:p>
    <w:p w:rsidR="000E2319" w:rsidRDefault="000E2319" w:rsidP="000E2319">
      <w:r>
        <w:t>Palabras clave: Biblioteca pública, función social de la biblioteca, participación, Biblioteca Social, Agenda ONU 2030</w:t>
      </w:r>
    </w:p>
    <w:p w:rsidR="000E2319" w:rsidRDefault="000E2319" w:rsidP="000E2319">
      <w:r>
        <w:t>Keywords: Public libraries, Social role of libraries, participation, 2030 UN Agenda, Social Library</w:t>
      </w:r>
    </w:p>
    <w:p w:rsidR="006C016A" w:rsidRDefault="006C016A">
      <w:r>
        <w:t>Huelva, 19 de octubre de 2017</w:t>
      </w:r>
    </w:p>
    <w:p w:rsidR="00955F80" w:rsidRPr="00651AC7" w:rsidRDefault="00EA455A" w:rsidP="00955F80">
      <w:pPr>
        <w:spacing w:after="0" w:line="240" w:lineRule="auto"/>
        <w:rPr>
          <w:rFonts w:ascii="Palatino Linotype" w:hAnsi="Palatino Linotype"/>
          <w:i/>
        </w:rPr>
      </w:pPr>
      <w:r>
        <w:t xml:space="preserve"> </w:t>
      </w:r>
      <w:r w:rsidR="00264D76">
        <w:t>(…)</w:t>
      </w:r>
      <w:r>
        <w:t xml:space="preserve"> </w:t>
      </w:r>
      <w:r w:rsidR="00955F80" w:rsidRPr="00651AC7">
        <w:rPr>
          <w:rFonts w:ascii="Palatino Linotype" w:hAnsi="Palatino Linotype"/>
          <w:i/>
        </w:rPr>
        <w:t>Mi sitio es estar en medio del pueblo</w:t>
      </w:r>
    </w:p>
    <w:p w:rsidR="00955F80" w:rsidRPr="00651AC7" w:rsidRDefault="00955F80" w:rsidP="00955F80">
      <w:pPr>
        <w:spacing w:after="0" w:line="240" w:lineRule="auto"/>
        <w:rPr>
          <w:rFonts w:ascii="Palatino Linotype" w:hAnsi="Palatino Linotype"/>
          <w:i/>
        </w:rPr>
      </w:pPr>
      <w:r w:rsidRPr="00651AC7">
        <w:rPr>
          <w:rFonts w:ascii="Palatino Linotype" w:hAnsi="Palatino Linotype"/>
          <w:i/>
        </w:rPr>
        <w:t>Y ser un medio del pueblo</w:t>
      </w:r>
    </w:p>
    <w:p w:rsidR="00955F80" w:rsidRPr="00651AC7" w:rsidRDefault="00955F80" w:rsidP="00955F80">
      <w:pPr>
        <w:spacing w:after="0" w:line="240" w:lineRule="auto"/>
        <w:rPr>
          <w:rFonts w:ascii="Palatino Linotype" w:hAnsi="Palatino Linotype"/>
          <w:i/>
        </w:rPr>
      </w:pPr>
      <w:r w:rsidRPr="00651AC7">
        <w:rPr>
          <w:rFonts w:ascii="Palatino Linotype" w:hAnsi="Palatino Linotype"/>
          <w:i/>
        </w:rPr>
        <w:t>Para servir sólo al pueblo.</w:t>
      </w:r>
    </w:p>
    <w:p w:rsidR="00955F80" w:rsidRPr="001A4058" w:rsidRDefault="00955F80" w:rsidP="00955F80">
      <w:pPr>
        <w:spacing w:after="0" w:line="240" w:lineRule="auto"/>
        <w:rPr>
          <w:rFonts w:ascii="Palatino Linotype" w:hAnsi="Palatino Linotype"/>
          <w:i/>
        </w:rPr>
      </w:pPr>
      <w:r w:rsidRPr="001A4058">
        <w:rPr>
          <w:rFonts w:ascii="Palatino Linotype" w:hAnsi="Palatino Linotype"/>
          <w:i/>
        </w:rPr>
        <w:t>Estoy con el pueblo de donde vine</w:t>
      </w:r>
    </w:p>
    <w:p w:rsidR="00955F80" w:rsidRPr="001A4058" w:rsidRDefault="00955F80" w:rsidP="00955F80">
      <w:pPr>
        <w:spacing w:after="0" w:line="240" w:lineRule="auto"/>
        <w:rPr>
          <w:rFonts w:ascii="Palatino Linotype" w:hAnsi="Palatino Linotype"/>
        </w:rPr>
      </w:pPr>
      <w:r w:rsidRPr="001A4058">
        <w:rPr>
          <w:rFonts w:ascii="Palatino Linotype" w:hAnsi="Palatino Linotype"/>
          <w:i/>
        </w:rPr>
        <w:t>Y adónde voy para quedarme</w:t>
      </w:r>
      <w:r w:rsidR="00264D76" w:rsidRPr="001A4058">
        <w:rPr>
          <w:rFonts w:ascii="Palatino Linotype" w:hAnsi="Palatino Linotype"/>
          <w:i/>
        </w:rPr>
        <w:t>.</w:t>
      </w:r>
    </w:p>
    <w:p w:rsidR="006C016A" w:rsidRDefault="00955F80" w:rsidP="00D353A6">
      <w:r w:rsidRPr="00955F80">
        <w:t>Glo</w:t>
      </w:r>
      <w:r>
        <w:t>ria Fuertes</w:t>
      </w:r>
    </w:p>
    <w:p w:rsidR="00002DA0" w:rsidRDefault="0049199A" w:rsidP="0049199A">
      <w:pPr>
        <w:jc w:val="both"/>
      </w:pPr>
      <w:r>
        <w:t xml:space="preserve">Creo que </w:t>
      </w:r>
      <w:r w:rsidR="00002DA0">
        <w:t>e</w:t>
      </w:r>
      <w:r w:rsidR="001832A5">
        <w:t>ste poema autobiográfico de Gloria Fuertes, en el que</w:t>
      </w:r>
      <w:r w:rsidR="00002DA0">
        <w:t xml:space="preserve"> nos dice cual es para ella su sitio</w:t>
      </w:r>
      <w:r w:rsidR="001832A5">
        <w:t xml:space="preserve">, </w:t>
      </w:r>
      <w:r>
        <w:t xml:space="preserve">nos puedo ser útil </w:t>
      </w:r>
      <w:r w:rsidR="00002DA0">
        <w:t xml:space="preserve">para </w:t>
      </w:r>
      <w:r w:rsidR="001832A5">
        <w:t xml:space="preserve">afirmar </w:t>
      </w:r>
      <w:r w:rsidR="00002DA0">
        <w:t xml:space="preserve">nosotros </w:t>
      </w:r>
      <w:r w:rsidR="001832A5">
        <w:t>com</w:t>
      </w:r>
      <w:r w:rsidR="00E75A2D">
        <w:t>o bibliotecarias y bibliotecario</w:t>
      </w:r>
      <w:r w:rsidR="001832A5">
        <w:t>s</w:t>
      </w:r>
      <w:r w:rsidR="00002DA0">
        <w:t xml:space="preserve"> lo que queremos ser y</w:t>
      </w:r>
      <w:r w:rsidR="0069617B">
        <w:t xml:space="preserve"> lo que queremos </w:t>
      </w:r>
      <w:r w:rsidR="00002DA0">
        <w:t xml:space="preserve">que sean </w:t>
      </w:r>
      <w:r w:rsidR="001832A5">
        <w:t>nuestras bibliotecas</w:t>
      </w:r>
      <w:r w:rsidR="00B2601D">
        <w:t>: parte indisociable de nuestra comunidad</w:t>
      </w:r>
      <w:r w:rsidR="00002DA0">
        <w:t xml:space="preserve">. </w:t>
      </w:r>
    </w:p>
    <w:p w:rsidR="00B2601D" w:rsidRDefault="00002DA0" w:rsidP="00AB0F3C">
      <w:pPr>
        <w:jc w:val="both"/>
      </w:pPr>
      <w:r>
        <w:t xml:space="preserve">Quería comenzar con estas líneas de Gloria en el año de su Centenario, </w:t>
      </w:r>
      <w:r w:rsidR="00B2601D">
        <w:t xml:space="preserve">porque estas </w:t>
      </w:r>
      <w:r>
        <w:t xml:space="preserve">Jornadas </w:t>
      </w:r>
      <w:r w:rsidR="00B2601D">
        <w:t xml:space="preserve">han tenido como </w:t>
      </w:r>
      <w:r w:rsidRPr="000E2319">
        <w:t>lema “La biblioteca</w:t>
      </w:r>
      <w:r>
        <w:t xml:space="preserve"> social”</w:t>
      </w:r>
      <w:r w:rsidR="00E75A2D">
        <w:t xml:space="preserve">. </w:t>
      </w:r>
      <w:r>
        <w:t xml:space="preserve"> </w:t>
      </w:r>
      <w:r w:rsidR="00EA455A">
        <w:t xml:space="preserve">Agradezco muchísimo a la </w:t>
      </w:r>
      <w:r w:rsidR="00EA455A" w:rsidRPr="00EA455A">
        <w:t>Asociación Andaluza de Bibliotecarios</w:t>
      </w:r>
      <w:r w:rsidR="00EA455A">
        <w:t xml:space="preserve"> </w:t>
      </w:r>
      <w:r>
        <w:t>e</w:t>
      </w:r>
      <w:r w:rsidR="00EA455A">
        <w:t xml:space="preserve">l enorme </w:t>
      </w:r>
      <w:r>
        <w:t>honor q</w:t>
      </w:r>
      <w:r w:rsidR="00EA455A">
        <w:t xml:space="preserve">ue me hace al ofrecerme la posibilidad de dirigiros </w:t>
      </w:r>
      <w:r>
        <w:t xml:space="preserve">estas </w:t>
      </w:r>
      <w:r w:rsidR="00EA455A">
        <w:t>palabra</w:t>
      </w:r>
      <w:r w:rsidR="00B2601D">
        <w:t>s</w:t>
      </w:r>
      <w:r>
        <w:t xml:space="preserve"> últimas de las Jornadas</w:t>
      </w:r>
      <w:r w:rsidR="00EA455A">
        <w:t xml:space="preserve">. </w:t>
      </w:r>
    </w:p>
    <w:p w:rsidR="006C016A" w:rsidRDefault="001B0976" w:rsidP="00AB0F3C">
      <w:pPr>
        <w:jc w:val="both"/>
      </w:pPr>
      <w:r>
        <w:t>Debo</w:t>
      </w:r>
      <w:r w:rsidR="00EA455A">
        <w:t xml:space="preserve"> reconocer que m</w:t>
      </w:r>
      <w:r w:rsidR="006C016A">
        <w:t xml:space="preserve">e ha costado preparar esta conferencia. </w:t>
      </w:r>
      <w:r w:rsidR="006365D5">
        <w:t xml:space="preserve">Cada vez </w:t>
      </w:r>
      <w:r w:rsidR="00955F80">
        <w:t xml:space="preserve">dudo </w:t>
      </w:r>
      <w:r w:rsidR="006365D5">
        <w:t>más</w:t>
      </w:r>
      <w:r w:rsidR="006C016A">
        <w:t xml:space="preserve"> </w:t>
      </w:r>
      <w:r w:rsidR="006365D5">
        <w:t xml:space="preserve">sobre </w:t>
      </w:r>
      <w:r w:rsidR="00E77CCF">
        <w:t xml:space="preserve">de lo que debo decir a </w:t>
      </w:r>
      <w:r w:rsidR="001A4058">
        <w:t>profesionales</w:t>
      </w:r>
      <w:r w:rsidR="006C016A">
        <w:t xml:space="preserve"> que vivís vuestras bibliotecas cada día, y por tanto conocéis mejor que nadie lo que necesita vuestra comunidad, vuestros problemas y vuestra labor. N</w:t>
      </w:r>
      <w:r w:rsidR="00E77CCF">
        <w:t xml:space="preserve">o </w:t>
      </w:r>
      <w:r w:rsidR="006C016A">
        <w:t xml:space="preserve">me gusta </w:t>
      </w:r>
      <w:r w:rsidR="006365D5">
        <w:t xml:space="preserve">hablar desde la comodidad de mi posición académica </w:t>
      </w:r>
      <w:r w:rsidR="001A4058">
        <w:t xml:space="preserve">sobre </w:t>
      </w:r>
      <w:r w:rsidR="006C016A">
        <w:t>lo que deberíais estar haciendo y quizás no consigáis</w:t>
      </w:r>
      <w:r w:rsidR="0069617B">
        <w:t xml:space="preserve"> siempre</w:t>
      </w:r>
      <w:r w:rsidR="007B2151">
        <w:t>,</w:t>
      </w:r>
      <w:r w:rsidR="006C016A">
        <w:t xml:space="preserve"> por falta de medios y otras dificultades organizativas. </w:t>
      </w:r>
      <w:r w:rsidR="00E77CCF">
        <w:t xml:space="preserve">Sin embargo, me habéis invitado, y por tanto mi reto es </w:t>
      </w:r>
      <w:r w:rsidR="007B2151">
        <w:t>que pensemos juntos</w:t>
      </w:r>
      <w:r w:rsidR="00E77CCF">
        <w:t xml:space="preserve"> sobre vuestra labor</w:t>
      </w:r>
      <w:r w:rsidR="0069617B">
        <w:t>.</w:t>
      </w:r>
      <w:r w:rsidR="00E77CCF">
        <w:t xml:space="preserve"> </w:t>
      </w:r>
    </w:p>
    <w:p w:rsidR="00E81A04" w:rsidRPr="00BF06AC" w:rsidRDefault="0017631E" w:rsidP="00D353A6">
      <w:pPr>
        <w:jc w:val="both"/>
        <w:rPr>
          <w:rFonts w:ascii="Palatino Linotype" w:hAnsi="Palatino Linotype"/>
          <w:i/>
        </w:rPr>
      </w:pPr>
      <w:r>
        <w:lastRenderedPageBreak/>
        <w:t>La última vez que participé en vuestras jornadas fue en 2013, en Jaén, y mi interve</w:t>
      </w:r>
      <w:r w:rsidR="00E81A04">
        <w:t>nción se centró en glosar un</w:t>
      </w:r>
      <w:r>
        <w:t xml:space="preserve"> poema para hablar de la resiliencia de la biblioteca, de la capacidad de sobrevivir y adaptarse al contexto de la crisis </w:t>
      </w:r>
      <w:r>
        <w:fldChar w:fldCharType="begin" w:fldLock="1"/>
      </w:r>
      <w:r>
        <w:instrText>ADDIN CSL_CITATION { "citationItems" : [ { "id" : "ITEM-1", "itemData" : { "DOI" : "10.13140/RG.2.1.4720.9041", "abstract" : "In the nowadays social context, that has bien determinated by economic recesion in Spain, it is made an apology of librarian activism, to improve new services y for to play a valued role for users", "author" : [ { "dropping-particle" : "", "family" : "G\u00f3mez-Hern\u00e1ndez", "given" : "Jos\u00e9-Antonio", "non-dropping-particle" : "", "parse-names" : false, "suffix" : "" } ], "container-title" : "Bolet\u00edn de la Asociaci\u00f3n andaluza de bibliotecarios", "id" : "ITEM-1", "issue" : "104", "issued" : { "date-parts" : [ [ "2012", "12", "25" ] ] }, "language" : "es", "page" : "49-64", "publisher" : "Asociaci\u00f3n Andaluza de bibliotecarios", "title" : "Acci\u00f3n bibliotecaria ahora mismo", "type" : "article-journal", "volume" : "27" }, "uris" : [ "http://www.mendeley.com/documents/?uuid=b6eca369-1e3d-4546-b06d-04f8186be4ab" ] } ], "mendeley" : { "formattedCitation" : "(G\u00f3mez-Hern\u00e1ndez, 2012)", "plainTextFormattedCitation" : "(G\u00f3mez-Hern\u00e1ndez, 2012)", "previouslyFormattedCitation" : "(G\u00f3mez-Hern\u00e1ndez, 2012)" }, "properties" : { "noteIndex" : 1 }, "schema" : "https://github.com/citation-style-language/schema/raw/master/csl-citation.json" }</w:instrText>
      </w:r>
      <w:r>
        <w:fldChar w:fldCharType="separate"/>
      </w:r>
      <w:r w:rsidRPr="0017631E">
        <w:rPr>
          <w:noProof/>
        </w:rPr>
        <w:t>(Gómez-Hernández, 2012)</w:t>
      </w:r>
      <w:r>
        <w:fldChar w:fldCharType="end"/>
      </w:r>
      <w:r>
        <w:t xml:space="preserve">. Ahora me gustaría poder hablar de bibliotecas empoderadas, aunque haya que reconocer </w:t>
      </w:r>
      <w:r w:rsidR="00323781" w:rsidRPr="001A4058">
        <w:t>que</w:t>
      </w:r>
      <w:r w:rsidR="00323781">
        <w:t xml:space="preserve"> </w:t>
      </w:r>
      <w:r>
        <w:t>su fragilidad persiste</w:t>
      </w:r>
      <w:r w:rsidR="00E81A04">
        <w:t>, y la vigencia de a</w:t>
      </w:r>
      <w:r>
        <w:t>quel poema</w:t>
      </w:r>
      <w:r w:rsidR="00016B23">
        <w:t xml:space="preserve"> de Miquel Marti i Pol</w:t>
      </w:r>
      <w:r w:rsidR="00E81A04">
        <w:t xml:space="preserve"> que</w:t>
      </w:r>
      <w:r>
        <w:t xml:space="preserve"> </w:t>
      </w:r>
      <w:r w:rsidR="001A4058">
        <w:t xml:space="preserve">entre otras cosas </w:t>
      </w:r>
      <w:r>
        <w:t>decía</w:t>
      </w:r>
      <w:r w:rsidR="00D353A6">
        <w:t xml:space="preserve"> “</w:t>
      </w:r>
      <w:r w:rsidR="00E81A04" w:rsidRPr="00BF06AC">
        <w:rPr>
          <w:rFonts w:ascii="Palatino Linotype" w:hAnsi="Palatino Linotype"/>
          <w:i/>
        </w:rPr>
        <w:t>De nada nos vale la añoranza o la queja</w:t>
      </w:r>
      <w:r w:rsidR="00D353A6">
        <w:rPr>
          <w:rFonts w:ascii="Palatino Linotype" w:hAnsi="Palatino Linotype"/>
          <w:i/>
        </w:rPr>
        <w:t xml:space="preserve"> (…) </w:t>
      </w:r>
      <w:r w:rsidR="00E81A04" w:rsidRPr="00BF06AC">
        <w:rPr>
          <w:rFonts w:ascii="Palatino Linotype" w:hAnsi="Palatino Linotype"/>
          <w:i/>
        </w:rPr>
        <w:t>Tenemos apenas</w:t>
      </w:r>
      <w:r w:rsidR="00D353A6">
        <w:rPr>
          <w:rFonts w:ascii="Palatino Linotype" w:hAnsi="Palatino Linotype"/>
          <w:i/>
        </w:rPr>
        <w:t xml:space="preserve"> </w:t>
      </w:r>
      <w:r w:rsidR="00E81A04" w:rsidRPr="00BF06AC">
        <w:rPr>
          <w:rFonts w:ascii="Palatino Linotype" w:hAnsi="Palatino Linotype"/>
          <w:i/>
        </w:rPr>
        <w:t>lo que tenemos y basta: el espacio de historia</w:t>
      </w:r>
      <w:r w:rsidR="00D353A6">
        <w:rPr>
          <w:rFonts w:ascii="Palatino Linotype" w:hAnsi="Palatino Linotype"/>
          <w:i/>
        </w:rPr>
        <w:t xml:space="preserve"> </w:t>
      </w:r>
      <w:r w:rsidR="00E81A04" w:rsidRPr="00BF06AC">
        <w:rPr>
          <w:rFonts w:ascii="Palatino Linotype" w:hAnsi="Palatino Linotype"/>
          <w:i/>
        </w:rPr>
        <w:t>concreta que nos corresponde, y un minúsculo</w:t>
      </w:r>
      <w:r w:rsidR="00D353A6">
        <w:rPr>
          <w:rFonts w:ascii="Palatino Linotype" w:hAnsi="Palatino Linotype"/>
          <w:i/>
        </w:rPr>
        <w:t xml:space="preserve"> </w:t>
      </w:r>
      <w:r w:rsidR="00E81A04" w:rsidRPr="00BF06AC">
        <w:rPr>
          <w:rFonts w:ascii="Palatino Linotype" w:hAnsi="Palatino Linotype"/>
          <w:i/>
        </w:rPr>
        <w:t>territorio para vivirla. Pongámonos</w:t>
      </w:r>
      <w:r w:rsidR="00D353A6">
        <w:rPr>
          <w:rFonts w:ascii="Palatino Linotype" w:hAnsi="Palatino Linotype"/>
          <w:i/>
        </w:rPr>
        <w:t xml:space="preserve"> </w:t>
      </w:r>
      <w:r w:rsidR="00E81A04" w:rsidRPr="00BF06AC">
        <w:rPr>
          <w:rFonts w:ascii="Palatino Linotype" w:hAnsi="Palatino Linotype"/>
          <w:i/>
        </w:rPr>
        <w:t>de pie otra vez y que se sienta</w:t>
      </w:r>
      <w:r w:rsidR="00D353A6">
        <w:rPr>
          <w:rFonts w:ascii="Palatino Linotype" w:hAnsi="Palatino Linotype"/>
          <w:i/>
        </w:rPr>
        <w:t xml:space="preserve"> </w:t>
      </w:r>
      <w:r w:rsidR="00E81A04" w:rsidRPr="00BF06AC">
        <w:rPr>
          <w:rFonts w:ascii="Palatino Linotype" w:hAnsi="Palatino Linotype"/>
          <w:i/>
        </w:rPr>
        <w:t>la voz de todos solemne y claramente.</w:t>
      </w:r>
      <w:r w:rsidR="00D353A6">
        <w:rPr>
          <w:rFonts w:ascii="Palatino Linotype" w:hAnsi="Palatino Linotype"/>
          <w:i/>
        </w:rPr>
        <w:t xml:space="preserve"> </w:t>
      </w:r>
      <w:r w:rsidR="00E81A04" w:rsidRPr="00BF06AC">
        <w:rPr>
          <w:rFonts w:ascii="Palatino Linotype" w:hAnsi="Palatino Linotype"/>
          <w:i/>
        </w:rPr>
        <w:t>Gritemos quienes somos y que todos lo oigan.</w:t>
      </w:r>
      <w:r w:rsidR="00D353A6">
        <w:rPr>
          <w:rFonts w:ascii="Palatino Linotype" w:hAnsi="Palatino Linotype"/>
          <w:i/>
        </w:rPr>
        <w:t xml:space="preserve"> </w:t>
      </w:r>
      <w:r w:rsidR="00E81A04" w:rsidRPr="00BF06AC">
        <w:rPr>
          <w:rFonts w:ascii="Palatino Linotype" w:hAnsi="Palatino Linotype"/>
          <w:i/>
        </w:rPr>
        <w:t xml:space="preserve">Y </w:t>
      </w:r>
      <w:r w:rsidR="00D353A6">
        <w:rPr>
          <w:rFonts w:ascii="Palatino Linotype" w:hAnsi="Palatino Linotype"/>
          <w:i/>
        </w:rPr>
        <w:t xml:space="preserve">(…) </w:t>
      </w:r>
      <w:r w:rsidR="00E81A04" w:rsidRPr="00BF06AC">
        <w:rPr>
          <w:rFonts w:ascii="Palatino Linotype" w:hAnsi="Palatino Linotype"/>
          <w:i/>
        </w:rPr>
        <w:t>¡adelante!</w:t>
      </w:r>
      <w:r w:rsidR="00D353A6">
        <w:rPr>
          <w:rFonts w:ascii="Palatino Linotype" w:hAnsi="Palatino Linotype"/>
          <w:i/>
        </w:rPr>
        <w:t xml:space="preserve"> </w:t>
      </w:r>
      <w:r w:rsidR="00E81A04" w:rsidRPr="00BF06AC">
        <w:rPr>
          <w:rFonts w:ascii="Palatino Linotype" w:hAnsi="Palatino Linotype"/>
          <w:i/>
        </w:rPr>
        <w:t>que todo está por hacer, y todo es posible.</w:t>
      </w:r>
    </w:p>
    <w:p w:rsidR="00A41AFE" w:rsidRPr="001A4058" w:rsidRDefault="00D353A6" w:rsidP="00A41AFE">
      <w:pPr>
        <w:jc w:val="both"/>
      </w:pPr>
      <w:r>
        <w:t xml:space="preserve">Veamos </w:t>
      </w:r>
      <w:r w:rsidR="00323781" w:rsidRPr="001A4058">
        <w:t>ahora</w:t>
      </w:r>
      <w:r w:rsidR="00323781">
        <w:t xml:space="preserve"> </w:t>
      </w:r>
      <w:r>
        <w:t>cómo es posible ser biblioteca social</w:t>
      </w:r>
      <w:r w:rsidR="00A41AFE">
        <w:t>, trasladando la autodefinición de Gloria Fuertes con la que comenzaba: ¿Qué es ser y estar como bibliotecas en medio del pueblo, para servir solo al pueblo y estando con él? De otro modo</w:t>
      </w:r>
      <w:r w:rsidR="00A41AFE" w:rsidRPr="001A4058">
        <w:t>, ¿qué es ser “biblioteca social”? ¿Qué añade para que no sea un pleonasmo, una expresión redundante</w:t>
      </w:r>
      <w:r w:rsidR="001A4058">
        <w:t>, pues de por sí toda biblioteca es social</w:t>
      </w:r>
      <w:r w:rsidR="00A41AFE" w:rsidRPr="001A4058">
        <w:t>?</w:t>
      </w:r>
    </w:p>
    <w:p w:rsidR="00E81A04" w:rsidRDefault="00E81A04" w:rsidP="00E81A04">
      <w:pPr>
        <w:jc w:val="both"/>
      </w:pPr>
    </w:p>
    <w:p w:rsidR="00816939" w:rsidRDefault="00816939" w:rsidP="00723D86">
      <w:pPr>
        <w:pStyle w:val="Ttulo1"/>
        <w:numPr>
          <w:ilvl w:val="0"/>
          <w:numId w:val="1"/>
        </w:numPr>
      </w:pPr>
      <w:r>
        <w:t xml:space="preserve">Ser biblioteca </w:t>
      </w:r>
      <w:r w:rsidRPr="002C406C">
        <w:rPr>
          <w:i/>
        </w:rPr>
        <w:t>social</w:t>
      </w:r>
    </w:p>
    <w:p w:rsidR="001A4058" w:rsidRDefault="001A4058" w:rsidP="001A4058">
      <w:pPr>
        <w:ind w:firstLine="360"/>
        <w:jc w:val="both"/>
      </w:pPr>
    </w:p>
    <w:p w:rsidR="00AB0F3C" w:rsidRPr="001A4058" w:rsidRDefault="007B2151" w:rsidP="001A4058">
      <w:pPr>
        <w:ind w:firstLine="360"/>
        <w:jc w:val="both"/>
      </w:pPr>
      <w:r>
        <w:t xml:space="preserve">Buscando </w:t>
      </w:r>
      <w:r w:rsidR="0069617B">
        <w:t xml:space="preserve">la respuesta acudo a varias escenas </w:t>
      </w:r>
      <w:r w:rsidR="00AB0F3C">
        <w:t>bibliotecarias del cine o la animación</w:t>
      </w:r>
      <w:r w:rsidR="0069617B">
        <w:t xml:space="preserve"> que me han hecho pensar. En </w:t>
      </w:r>
      <w:r w:rsidR="0069617B" w:rsidRPr="0069617B">
        <w:rPr>
          <w:i/>
        </w:rPr>
        <w:t>Figuras ocultas</w:t>
      </w:r>
      <w:r w:rsidR="0069617B">
        <w:rPr>
          <w:i/>
        </w:rPr>
        <w:t xml:space="preserve"> </w:t>
      </w:r>
      <w:r w:rsidR="0069617B">
        <w:t xml:space="preserve">(Helson, 2016), ambientada en los racistas años sesenta en Estados Unidos, la científica negra va a la biblioteca en busca de un libro sobre un incipiente lenguaje de programación, el </w:t>
      </w:r>
      <w:r w:rsidR="0069617B" w:rsidRPr="001A4058">
        <w:rPr>
          <w:i/>
        </w:rPr>
        <w:t>Fortram</w:t>
      </w:r>
      <w:r w:rsidR="0069617B">
        <w:t>, acompañada de sus dos hijos. La biblioteca segrega a negros y a blancos, un reflejo del racismo que aún perduraba en la época. Y por ello le niega el libro a la madre. Pero ésta lo roba y ante la extrañeza de los hijos reivindica que lo que hay en la biblioteca es suyo, que tiene derecho al libro. En suma, conoce su derecho a la información, lo defiende, conoce el valor de la biblioteca y la usa</w:t>
      </w:r>
      <w:r w:rsidR="00AB0F3C">
        <w:t xml:space="preserve"> superando el racismo y empoderándose</w:t>
      </w:r>
      <w:r w:rsidR="0069617B">
        <w:t>. En esta escena tenemos una biblioteca que no es social, pero tiene al menos un elemento fundamental para serlo</w:t>
      </w:r>
      <w:r w:rsidR="001A4058">
        <w:t>, que es lo que quiero destacar</w:t>
      </w:r>
      <w:r w:rsidR="0069617B">
        <w:t>: una usuaria que es consciente de su derecho a la bibliotec</w:t>
      </w:r>
      <w:r w:rsidR="00AB0F3C">
        <w:t>a y su necesidad de información y que hace de la biblioteca su fuente de informació</w:t>
      </w:r>
      <w:r w:rsidR="00813929">
        <w:t>n</w:t>
      </w:r>
      <w:r w:rsidR="00813929" w:rsidRPr="001A4058">
        <w:t>. Una biblioteca social es rei</w:t>
      </w:r>
      <w:r w:rsidR="00AB0F3C" w:rsidRPr="001A4058">
        <w:t>vi</w:t>
      </w:r>
      <w:r w:rsidR="00813929" w:rsidRPr="001A4058">
        <w:t>n</w:t>
      </w:r>
      <w:r w:rsidR="00AB0F3C" w:rsidRPr="001A4058">
        <w:t>dicada y exigida por usuarios</w:t>
      </w:r>
      <w:r w:rsidR="009110A9" w:rsidRPr="001A4058">
        <w:t xml:space="preserve"> de todo tipo</w:t>
      </w:r>
      <w:r w:rsidR="00AB0F3C" w:rsidRPr="001A4058">
        <w:t>. La indife</w:t>
      </w:r>
      <w:r w:rsidR="00813929" w:rsidRPr="001A4058">
        <w:t>rencia social es lo preocupante: una biblioteca social es relevante para su comunidad</w:t>
      </w:r>
      <w:r w:rsidR="003E1523" w:rsidRPr="001A4058">
        <w:t>, que la juzga “imprescindible”</w:t>
      </w:r>
      <w:r w:rsidR="00813929" w:rsidRPr="001A4058">
        <w:t>.</w:t>
      </w:r>
      <w:r w:rsidR="00331F6D" w:rsidRPr="001A4058">
        <w:t xml:space="preserve">  </w:t>
      </w:r>
    </w:p>
    <w:p w:rsidR="0069617B" w:rsidRPr="001A4058" w:rsidRDefault="0069617B" w:rsidP="00813929">
      <w:pPr>
        <w:jc w:val="both"/>
      </w:pPr>
      <w:r>
        <w:t xml:space="preserve">Si avanzamos unos cuantos años y llegamos a otra escena bibliotecaria famosa, la de </w:t>
      </w:r>
      <w:r w:rsidRPr="001D3137">
        <w:rPr>
          <w:i/>
        </w:rPr>
        <w:t>El cielo sobre Berlín</w:t>
      </w:r>
      <w:r>
        <w:t xml:space="preserve"> (Wenders, 1987)</w:t>
      </w:r>
      <w:r w:rsidR="001B7480">
        <w:rPr>
          <w:rStyle w:val="Refdenotaalpie"/>
        </w:rPr>
        <w:footnoteReference w:id="1"/>
      </w:r>
      <w:r w:rsidR="001B7480">
        <w:t xml:space="preserve"> </w:t>
      </w:r>
      <w:r>
        <w:t xml:space="preserve">, </w:t>
      </w:r>
      <w:r w:rsidR="00DE6DDB">
        <w:t xml:space="preserve">veremos una biblioteca </w:t>
      </w:r>
      <w:r w:rsidR="00F562D5">
        <w:t>l</w:t>
      </w:r>
      <w:r w:rsidR="00DE6DDB">
        <w:t>l</w:t>
      </w:r>
      <w:r>
        <w:t>ena</w:t>
      </w:r>
      <w:r w:rsidR="001D3137">
        <w:t xml:space="preserve"> de usuarias y usuarios de todas las edades, clases sociales y orígenes, con motivaciones diversas</w:t>
      </w:r>
      <w:r w:rsidR="00DE6DDB">
        <w:t xml:space="preserve"> para acceder a información y aprender</w:t>
      </w:r>
      <w:r w:rsidR="001D3137">
        <w:t>. Tiene de todo para todos, pero,</w:t>
      </w:r>
      <w:r w:rsidR="0064575C">
        <w:t xml:space="preserve"> ¿e</w:t>
      </w:r>
      <w:r w:rsidR="001D3137">
        <w:t>s una biblioteca social? Diríamos</w:t>
      </w:r>
      <w:r>
        <w:t xml:space="preserve"> </w:t>
      </w:r>
      <w:r w:rsidR="001D3137">
        <w:t>que sí en cuanto a la universalidad de uso</w:t>
      </w:r>
      <w:r w:rsidR="00F562D5">
        <w:t xml:space="preserve"> sin exclusiones</w:t>
      </w:r>
      <w:r w:rsidR="001D3137">
        <w:t xml:space="preserve">, pero echamos de menos dos cosas: los bibliotecarios </w:t>
      </w:r>
      <w:r w:rsidR="00DE6DDB">
        <w:t>están ausentes</w:t>
      </w:r>
      <w:r w:rsidR="00212C09">
        <w:t xml:space="preserve"> o son invisibles;</w:t>
      </w:r>
      <w:r w:rsidR="00F562D5">
        <w:t xml:space="preserve"> la biblioteca es un espacio de mera intermediación entre el libro y el lector,</w:t>
      </w:r>
      <w:r w:rsidR="00DE6DDB">
        <w:t xml:space="preserve"> y</w:t>
      </w:r>
      <w:r w:rsidR="00F562D5">
        <w:t xml:space="preserve"> tampoco hay interacción </w:t>
      </w:r>
      <w:r w:rsidR="00DE6DDB">
        <w:t>entre los lectores</w:t>
      </w:r>
      <w:r w:rsidR="00212C09">
        <w:t xml:space="preserve">; son </w:t>
      </w:r>
      <w:r w:rsidR="00F26022">
        <w:t>autónomos,</w:t>
      </w:r>
      <w:r w:rsidR="00212C09">
        <w:t xml:space="preserve"> pero están aislado</w:t>
      </w:r>
      <w:r w:rsidR="00346D0D">
        <w:t>s</w:t>
      </w:r>
      <w:r w:rsidR="00212C09">
        <w:t>. C</w:t>
      </w:r>
      <w:r w:rsidR="00DE6DDB">
        <w:t xml:space="preserve">omo afirma el personaje Homero, que añora </w:t>
      </w:r>
      <w:r w:rsidR="00444FA5">
        <w:t>que ya no se s</w:t>
      </w:r>
      <w:r w:rsidR="00212C09">
        <w:t>iente</w:t>
      </w:r>
      <w:r w:rsidR="00444FA5">
        <w:t>n en corro</w:t>
      </w:r>
      <w:r w:rsidR="00346D0D">
        <w:t xml:space="preserve"> y escuchen un relato común</w:t>
      </w:r>
      <w:r w:rsidR="00212C09">
        <w:t>; por el contrario, están</w:t>
      </w:r>
      <w:r w:rsidR="00444FA5">
        <w:t xml:space="preserve"> solos y no sabe</w:t>
      </w:r>
      <w:r w:rsidR="0064575C">
        <w:t xml:space="preserve">n nada </w:t>
      </w:r>
      <w:r w:rsidR="00444FA5">
        <w:t>l</w:t>
      </w:r>
      <w:r w:rsidR="0064575C">
        <w:t>os</w:t>
      </w:r>
      <w:r w:rsidR="00444FA5">
        <w:t xml:space="preserve"> uno</w:t>
      </w:r>
      <w:r w:rsidR="0064575C">
        <w:t xml:space="preserve">s </w:t>
      </w:r>
      <w:r w:rsidR="00444FA5">
        <w:t>de</w:t>
      </w:r>
      <w:r w:rsidR="0064575C">
        <w:t xml:space="preserve"> </w:t>
      </w:r>
      <w:r w:rsidR="00444FA5">
        <w:t>l</w:t>
      </w:r>
      <w:r w:rsidR="0064575C">
        <w:t>os</w:t>
      </w:r>
      <w:r w:rsidR="00444FA5">
        <w:t xml:space="preserve"> otro</w:t>
      </w:r>
      <w:r w:rsidR="0064575C">
        <w:t>s</w:t>
      </w:r>
      <w:r w:rsidR="007B2151">
        <w:t>, en ese sentido no son comunidad</w:t>
      </w:r>
      <w:r w:rsidR="00444FA5" w:rsidRPr="001A4058">
        <w:t xml:space="preserve">. </w:t>
      </w:r>
      <w:r w:rsidR="00F562D5" w:rsidRPr="001A4058">
        <w:t xml:space="preserve">Una biblioteca social tiene bibliotecarios que protagonizan una labor de </w:t>
      </w:r>
      <w:r w:rsidR="00F562D5" w:rsidRPr="001A4058">
        <w:lastRenderedPageBreak/>
        <w:t>conectores, de aglutinantes, de formadores o de asesores en su comunidad, y potencian la interacción social, lo comunitario, tanto como lo individual</w:t>
      </w:r>
      <w:r w:rsidR="009110A9" w:rsidRPr="001A4058">
        <w:t>, en sus espacios</w:t>
      </w:r>
      <w:r w:rsidR="00F562D5" w:rsidRPr="001A4058">
        <w:t>.</w:t>
      </w:r>
      <w:r w:rsidR="00212C09" w:rsidRPr="001A4058">
        <w:t xml:space="preserve"> </w:t>
      </w:r>
    </w:p>
    <w:p w:rsidR="00DE6DDB" w:rsidRPr="001A4058" w:rsidRDefault="0064575C" w:rsidP="00813929">
      <w:pPr>
        <w:jc w:val="both"/>
      </w:pPr>
      <w:r>
        <w:t xml:space="preserve">Veamos ahora una escena brevísima de </w:t>
      </w:r>
      <w:r w:rsidRPr="00F562D5">
        <w:rPr>
          <w:i/>
        </w:rPr>
        <w:t>Los Simpsons</w:t>
      </w:r>
      <w:r>
        <w:t xml:space="preserve"> (Temporada 15, capítulo </w:t>
      </w:r>
      <w:r w:rsidRPr="00F562D5">
        <w:rPr>
          <w:i/>
        </w:rPr>
        <w:t xml:space="preserve">El recorrido histórico de </w:t>
      </w:r>
      <w:r w:rsidR="00FC2190">
        <w:rPr>
          <w:i/>
        </w:rPr>
        <w:t>Marg</w:t>
      </w:r>
      <w:r w:rsidRPr="00F562D5">
        <w:rPr>
          <w:i/>
        </w:rPr>
        <w:t>e</w:t>
      </w:r>
      <w:r>
        <w:t>)</w:t>
      </w:r>
      <w:r w:rsidR="00FC2190">
        <w:rPr>
          <w:rStyle w:val="Refdenotaalpie"/>
        </w:rPr>
        <w:footnoteReference w:id="2"/>
      </w:r>
      <w:r w:rsidR="00F562D5">
        <w:t xml:space="preserve"> que nos sitúa ya en 2004. </w:t>
      </w:r>
      <w:r>
        <w:t>En ella la bibliotecaria nos presenta una biblioteca sin libros que se define como un “centro de aprendizaje multimedia para todas las edades y especialmente vagabundos”.</w:t>
      </w:r>
      <w:r w:rsidR="00212C09">
        <w:t xml:space="preserve"> Es una sátira que representa una biblioteca que ha modernizado su concept</w:t>
      </w:r>
      <w:r w:rsidR="001A4058">
        <w:t xml:space="preserve">o, </w:t>
      </w:r>
      <w:r w:rsidR="00212C09">
        <w:t xml:space="preserve">pero sin llenarlo de contenido. Acoge a personas vulnerables, y en ese sentido es abierta pero no social, </w:t>
      </w:r>
      <w:r w:rsidR="00212C09" w:rsidRPr="00D33B53">
        <w:t>p</w:t>
      </w:r>
      <w:r w:rsidR="008638A8" w:rsidRPr="00D33B53">
        <w:t>orque</w:t>
      </w:r>
      <w:r w:rsidR="00212C09">
        <w:t xml:space="preserve"> no actúa con ellos en programa que contribuyan a los procesos de mejora, disminuyan los factores de exclusión o los empoderen.</w:t>
      </w:r>
      <w:r>
        <w:t xml:space="preserve"> ¿Es una biblioteca social la que se centra </w:t>
      </w:r>
      <w:r w:rsidR="00212C09">
        <w:t>en personas vulnerables, pero no trabaja con ellas</w:t>
      </w:r>
      <w:r>
        <w:t>? Está claro que no</w:t>
      </w:r>
      <w:r w:rsidR="00F562D5">
        <w:t xml:space="preserve">; </w:t>
      </w:r>
      <w:r w:rsidR="00F562D5" w:rsidRPr="001A4058">
        <w:t>la biblioteca social es inclusiva</w:t>
      </w:r>
      <w:r w:rsidR="001B24CB" w:rsidRPr="001A4058">
        <w:t xml:space="preserve"> para las personas excluidas,</w:t>
      </w:r>
      <w:r w:rsidR="00F562D5" w:rsidRPr="001A4058">
        <w:t xml:space="preserve"> pero intenta ser útil y motivadora para grupos diversos de personas y grupos: estudiantes, mayores, ciudadanos</w:t>
      </w:r>
      <w:r w:rsidR="00212C09" w:rsidRPr="001A4058">
        <w:t xml:space="preserve"> y ciudadanas</w:t>
      </w:r>
      <w:r w:rsidR="00F562D5" w:rsidRPr="001A4058">
        <w:t xml:space="preserve"> </w:t>
      </w:r>
      <w:r w:rsidR="00F562D5" w:rsidRPr="00D33B53">
        <w:t>jóvenes</w:t>
      </w:r>
      <w:r w:rsidR="008638A8" w:rsidRPr="00D33B53">
        <w:t>. Intenta ser</w:t>
      </w:r>
      <w:r w:rsidR="00212C09" w:rsidRPr="001A4058">
        <w:t xml:space="preserve"> activa de acuerdo con sus necesidades y no solo una estancia</w:t>
      </w:r>
      <w:r w:rsidR="001B24CB" w:rsidRPr="001A4058">
        <w:t xml:space="preserve"> o un espacio</w:t>
      </w:r>
      <w:r w:rsidR="00212C09" w:rsidRPr="001A4058">
        <w:t>.</w:t>
      </w:r>
      <w:r w:rsidR="009110A9" w:rsidRPr="001A4058">
        <w:t xml:space="preserve"> Ser un tercer lugar no es solo permitir estar.</w:t>
      </w:r>
      <w:r w:rsidR="00F562D5" w:rsidRPr="001A4058">
        <w:t xml:space="preserve"> </w:t>
      </w:r>
    </w:p>
    <w:p w:rsidR="002A0241" w:rsidRPr="001A4058" w:rsidRDefault="00212C09" w:rsidP="001B24CB">
      <w:pPr>
        <w:jc w:val="both"/>
        <w:rPr>
          <w:b/>
        </w:rPr>
      </w:pPr>
      <w:r>
        <w:t xml:space="preserve">Y con ello llegamos </w:t>
      </w:r>
      <w:r w:rsidR="001B24CB">
        <w:t xml:space="preserve">por último </w:t>
      </w:r>
      <w:r>
        <w:t xml:space="preserve">a </w:t>
      </w:r>
      <w:r w:rsidR="0069617B" w:rsidRPr="00212C09">
        <w:rPr>
          <w:i/>
        </w:rPr>
        <w:t>Yo Daniel Blake</w:t>
      </w:r>
      <w:r w:rsidR="0069617B">
        <w:t xml:space="preserve"> </w:t>
      </w:r>
      <w:r>
        <w:t>(Ken Loach, 2016)</w:t>
      </w:r>
      <w:r w:rsidR="00816939">
        <w:rPr>
          <w:rStyle w:val="Refdenotaalpie"/>
        </w:rPr>
        <w:footnoteReference w:id="3"/>
      </w:r>
      <w:r w:rsidR="001B24CB">
        <w:t>. En ella,</w:t>
      </w:r>
      <w:r>
        <w:t xml:space="preserve"> </w:t>
      </w:r>
      <w:r w:rsidR="0069617B">
        <w:t xml:space="preserve">la biblioteca es abierta, nos ofrece una sala con muchos ordenadores de uso público, con tanta demanda que el protagonista tiene que volver por la tarde porque por la mañana no encuentra sitio para una sesión de Internet. Es un usuario sin medios y sin conocimientos digitales, al que una amable </w:t>
      </w:r>
      <w:r w:rsidR="001A4058">
        <w:t xml:space="preserve">y profesional </w:t>
      </w:r>
      <w:r w:rsidR="0069617B">
        <w:t xml:space="preserve">bibliotecaria dedica unos escasos </w:t>
      </w:r>
      <w:r w:rsidR="00323781">
        <w:t>segundos</w:t>
      </w:r>
      <w:r w:rsidR="0069617B">
        <w:t xml:space="preserve"> para </w:t>
      </w:r>
      <w:r w:rsidR="001A4058">
        <w:t>enseñarle lo básico para manejar</w:t>
      </w:r>
      <w:r w:rsidR="0069617B">
        <w:t xml:space="preserve"> el ordenador.</w:t>
      </w:r>
      <w:r w:rsidR="001B24CB">
        <w:t xml:space="preserve"> </w:t>
      </w:r>
      <w:r w:rsidR="0069617B">
        <w:t>Pero no es suficiente, entre bloqueos de pantalla y dudas la sesión del usuario termina, pierde la información y se tiene que marchar impotente para afrontar su problema, hacer una gestión administrativa para poder pedir una prestación por desempleo y reclamar un subsidio por su invalidez</w:t>
      </w:r>
      <w:r w:rsidR="001A4058">
        <w:t>, algo determinante para su vida</w:t>
      </w:r>
      <w:r w:rsidR="0069617B">
        <w:t xml:space="preserve">. </w:t>
      </w:r>
      <w:r w:rsidR="001B24CB">
        <w:t xml:space="preserve">¿Es una biblioteca social? Diría que lo </w:t>
      </w:r>
      <w:r w:rsidR="001B24CB" w:rsidRPr="001B24CB">
        <w:t>intenta</w:t>
      </w:r>
      <w:r w:rsidR="001B24CB">
        <w:t xml:space="preserve">: es abierta, es diversa, </w:t>
      </w:r>
      <w:r w:rsidR="002A0241">
        <w:t>da acceso a quien no lo tiene, pero al final no consigue actuar de un modo empoderador con su usuario: La bibliotecaria tiene poco tiempo, solo puede dar unas instrucciones insuficientes, los ordenadores escasean y quizás no se dejan el tiempo suficiente. Parece faltar personal y recursos para completar la labor que conceptualmente y vocacionalmente pretende</w:t>
      </w:r>
      <w:r w:rsidR="002A0241" w:rsidRPr="001A4058">
        <w:rPr>
          <w:b/>
        </w:rPr>
        <w:t xml:space="preserve">. </w:t>
      </w:r>
      <w:r w:rsidR="002A0241" w:rsidRPr="001A4058">
        <w:t>Una biblioteca social debe tener los apoyos económicos y los profesionales suficientes para realizar su labor.</w:t>
      </w:r>
    </w:p>
    <w:p w:rsidR="0069617B" w:rsidRDefault="002A0241" w:rsidP="001B24CB">
      <w:pPr>
        <w:jc w:val="both"/>
      </w:pPr>
      <w:r>
        <w:t>He apuntado aquí varios factores para la biblioteca social y empoderada: personas y grupos de conscientes que demandan a la biblioteca y se implican con ella</w:t>
      </w:r>
      <w:r w:rsidR="007B2151">
        <w:t xml:space="preserve"> como ciudadanos</w:t>
      </w:r>
      <w:r>
        <w:t>; profesionales que igualmente saben a dónde deben ir y luchan para ello, ejerciendo una labor dinamizadora, como “engranajes de los motores del cambio que son las bibliotecas” según la expresión de IFLA. Y medios económicos suficientes y apoy</w:t>
      </w:r>
      <w:r w:rsidR="009110A9">
        <w:t>o para llevar a cabo su función, en espacios pensados conscientemente como lugares de encuentro, conexión e intercambio.</w:t>
      </w:r>
    </w:p>
    <w:p w:rsidR="00816939" w:rsidRDefault="00816939" w:rsidP="007A7BA4">
      <w:pPr>
        <w:pStyle w:val="Ttulo1"/>
        <w:numPr>
          <w:ilvl w:val="0"/>
          <w:numId w:val="1"/>
        </w:numPr>
        <w:jc w:val="both"/>
      </w:pPr>
      <w:r>
        <w:t>La financiación y la crisis</w:t>
      </w:r>
      <w:r w:rsidR="003F1024">
        <w:t xml:space="preserve"> económica en las bibliotecas</w:t>
      </w:r>
    </w:p>
    <w:p w:rsidR="003E1523" w:rsidRDefault="003E1523" w:rsidP="00054A94">
      <w:pPr>
        <w:spacing w:after="0" w:line="240" w:lineRule="auto"/>
        <w:rPr>
          <w:i/>
        </w:rPr>
      </w:pP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Os digo en prosa:</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Nunca pedí dinero,</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comida, sangre o ropa.</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Empecé a trabajar de niña de niñera.</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lastRenderedPageBreak/>
        <w:t>Fui la criada de mi casa propia.</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(Yo misma fui mi propia muñeca)</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Luego de mayor,</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lo único que pedí prestado</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fue amor;</w:t>
      </w:r>
    </w:p>
    <w:p w:rsidR="00054A94" w:rsidRPr="00BF06AC" w:rsidRDefault="00054A94" w:rsidP="00054A94">
      <w:pPr>
        <w:spacing w:after="0" w:line="240" w:lineRule="auto"/>
        <w:rPr>
          <w:rFonts w:ascii="Palatino Linotype" w:hAnsi="Palatino Linotype"/>
          <w:i/>
        </w:rPr>
      </w:pPr>
      <w:r w:rsidRPr="00BF06AC">
        <w:rPr>
          <w:rFonts w:ascii="Palatino Linotype" w:hAnsi="Palatino Linotype"/>
          <w:i/>
        </w:rPr>
        <w:t>lo devolví con creces,</w:t>
      </w:r>
    </w:p>
    <w:p w:rsidR="00054A94" w:rsidRPr="00BF06AC" w:rsidRDefault="00054A94" w:rsidP="00054A94">
      <w:pPr>
        <w:spacing w:after="0" w:line="240" w:lineRule="auto"/>
        <w:rPr>
          <w:i/>
        </w:rPr>
      </w:pPr>
      <w:r w:rsidRPr="00BF06AC">
        <w:rPr>
          <w:rFonts w:ascii="Palatino Linotype" w:hAnsi="Palatino Linotype"/>
          <w:i/>
        </w:rPr>
        <w:t>hoy estoy arruinada</w:t>
      </w:r>
      <w:r w:rsidRPr="00BF06AC">
        <w:rPr>
          <w:i/>
        </w:rPr>
        <w:t>.</w:t>
      </w:r>
    </w:p>
    <w:p w:rsidR="00054A94" w:rsidRPr="00054A94" w:rsidRDefault="00054A94" w:rsidP="00D353A6">
      <w:r>
        <w:t>Gloria Fuertes</w:t>
      </w:r>
    </w:p>
    <w:p w:rsidR="005A4436" w:rsidRPr="00A11E8F" w:rsidRDefault="003E1523" w:rsidP="001A4058">
      <w:pPr>
        <w:spacing w:after="120" w:line="240" w:lineRule="auto"/>
        <w:ind w:firstLine="708"/>
        <w:jc w:val="both"/>
      </w:pPr>
      <w:r>
        <w:t>También en este poema autobiográfico de Gloria podemos ver reflejada la relación con el presupuesto de los bibliotecarios.</w:t>
      </w:r>
      <w:r w:rsidR="009506B4">
        <w:t xml:space="preserve"> Ella</w:t>
      </w:r>
      <w:r w:rsidR="007B2151">
        <w:t>,</w:t>
      </w:r>
      <w:r w:rsidR="009506B4">
        <w:t xml:space="preserve"> que fue bibliotecaria</w:t>
      </w:r>
      <w:r w:rsidR="00D14A3D">
        <w:t xml:space="preserve"> unos años</w:t>
      </w:r>
      <w:r w:rsidR="009506B4">
        <w:t xml:space="preserve">, tuvo </w:t>
      </w:r>
      <w:r>
        <w:t>mucho voluntarismo</w:t>
      </w:r>
      <w:r w:rsidR="00D353A6">
        <w:t>, mucha capacidad de dar, y poco dinero</w:t>
      </w:r>
      <w:r>
        <w:t xml:space="preserve">. </w:t>
      </w:r>
      <w:r w:rsidR="009110A9" w:rsidRPr="00A11E8F">
        <w:t xml:space="preserve">La escena de </w:t>
      </w:r>
      <w:r w:rsidR="009110A9" w:rsidRPr="00C85C7D">
        <w:rPr>
          <w:i/>
        </w:rPr>
        <w:t>Yo</w:t>
      </w:r>
      <w:r w:rsidR="00C85C7D">
        <w:rPr>
          <w:i/>
        </w:rPr>
        <w:t>,</w:t>
      </w:r>
      <w:r w:rsidR="009110A9" w:rsidRPr="00C85C7D">
        <w:rPr>
          <w:i/>
        </w:rPr>
        <w:t xml:space="preserve"> Daniel Blake</w:t>
      </w:r>
      <w:r w:rsidR="009110A9" w:rsidRPr="00A11E8F">
        <w:t xml:space="preserve"> me lleva a </w:t>
      </w:r>
      <w:r w:rsidR="009110A9" w:rsidRPr="001A4058">
        <w:t>la cuestión de la financiación</w:t>
      </w:r>
      <w:r w:rsidR="009110A9" w:rsidRPr="00A11E8F">
        <w:t>. En Gran Br</w:t>
      </w:r>
      <w:r w:rsidR="00505657" w:rsidRPr="00A11E8F">
        <w:t>etañ</w:t>
      </w:r>
      <w:r w:rsidR="009110A9" w:rsidRPr="00A11E8F">
        <w:t>a sabemos que se han perdido</w:t>
      </w:r>
      <w:r w:rsidR="009E6F0C" w:rsidRPr="00A11E8F">
        <w:t xml:space="preserve"> casi unas</w:t>
      </w:r>
      <w:r w:rsidR="00D14A3D">
        <w:t xml:space="preserve"> ochocientas</w:t>
      </w:r>
      <w:r w:rsidR="009E6F0C" w:rsidRPr="00A11E8F">
        <w:t xml:space="preserve"> bibliotecas, pues </w:t>
      </w:r>
      <w:r w:rsidR="009B1CED">
        <w:t xml:space="preserve">en </w:t>
      </w:r>
      <w:r w:rsidR="009E6F0C" w:rsidRPr="00A11E8F">
        <w:t>2016 queda</w:t>
      </w:r>
      <w:r w:rsidR="009B1CED">
        <w:t>ba</w:t>
      </w:r>
      <w:r w:rsidR="009E6F0C" w:rsidRPr="00A11E8F">
        <w:t>n 3850 de las 4622 que había en 2005</w:t>
      </w:r>
      <w:r w:rsidR="009B1CED">
        <w:t>,</w:t>
      </w:r>
      <w:r w:rsidR="00F26022" w:rsidRPr="00A11E8F">
        <w:t xml:space="preserve"> y </w:t>
      </w:r>
      <w:r w:rsidR="00B756FC" w:rsidRPr="00C85C7D">
        <w:rPr>
          <w:i/>
        </w:rPr>
        <w:t>The Guardian</w:t>
      </w:r>
      <w:r w:rsidR="00F26022" w:rsidRPr="00A11E8F">
        <w:rPr>
          <w:rStyle w:val="Refdenotaalpie"/>
        </w:rPr>
        <w:footnoteReference w:id="4"/>
      </w:r>
      <w:r w:rsidR="00B756FC" w:rsidRPr="00A11E8F">
        <w:t xml:space="preserve"> publicaba este pasado mes de agosto que e</w:t>
      </w:r>
      <w:r w:rsidR="00505657" w:rsidRPr="00A11E8F">
        <w:t>ntre 2010 y 2016 se redujo en unos mil el número de bibliotecarios profesionales, pasando de 18.028 a 17.064</w:t>
      </w:r>
      <w:r w:rsidR="00B756FC" w:rsidRPr="00A11E8F">
        <w:t>, mientras que</w:t>
      </w:r>
      <w:r w:rsidR="00346D0D" w:rsidRPr="00A11E8F">
        <w:t xml:space="preserve"> la cifra de voluntarios subió de</w:t>
      </w:r>
      <w:r w:rsidR="00B756FC" w:rsidRPr="00A11E8F">
        <w:t xml:space="preserve"> </w:t>
      </w:r>
      <w:r w:rsidR="00505657" w:rsidRPr="00A11E8F">
        <w:t>41.402 a 44.501</w:t>
      </w:r>
      <w:r w:rsidR="00B756FC" w:rsidRPr="00A11E8F">
        <w:t xml:space="preserve"> en el mismo periodo</w:t>
      </w:r>
      <w:r w:rsidR="00346D0D" w:rsidRPr="00A11E8F">
        <w:t>. La</w:t>
      </w:r>
      <w:r w:rsidR="00D14A3D">
        <w:t xml:space="preserve"> preocupante</w:t>
      </w:r>
      <w:r w:rsidR="00346D0D" w:rsidRPr="00A11E8F">
        <w:t xml:space="preserve"> idea implícita es que </w:t>
      </w:r>
      <w:r w:rsidR="00C34270" w:rsidRPr="00A11E8F">
        <w:t>gestionar una biblio</w:t>
      </w:r>
      <w:r w:rsidR="005A4436" w:rsidRPr="00A11E8F">
        <w:t xml:space="preserve">teca no es un empleo que se deba ejercer con una cualificación profesional, y eso es un retroceso claro. </w:t>
      </w:r>
    </w:p>
    <w:p w:rsidR="00DD719E" w:rsidRPr="00A11E8F" w:rsidRDefault="005A4436" w:rsidP="00640427">
      <w:pPr>
        <w:jc w:val="both"/>
      </w:pPr>
      <w:r w:rsidRPr="00A11E8F">
        <w:t xml:space="preserve">Y eso me trae de nuevo a España </w:t>
      </w:r>
      <w:r w:rsidR="00A11E8F" w:rsidRPr="00A11E8F">
        <w:t xml:space="preserve">y a Andalucía </w:t>
      </w:r>
      <w:r w:rsidRPr="00A11E8F">
        <w:t xml:space="preserve">para preguntarme por el mismo tema, </w:t>
      </w:r>
      <w:r w:rsidR="00B4753E" w:rsidRPr="00A11E8F">
        <w:t xml:space="preserve">la financiación y cómo la crisis nos ha afectado, porque sin recursos suficientes es más fácil la </w:t>
      </w:r>
      <w:r w:rsidR="007334DB" w:rsidRPr="00A11E8F">
        <w:t xml:space="preserve">mera </w:t>
      </w:r>
      <w:r w:rsidR="00B4753E" w:rsidRPr="00A11E8F">
        <w:t>supervivencia que el empoderamiento</w:t>
      </w:r>
      <w:r w:rsidR="00A11E8F" w:rsidRPr="00A11E8F">
        <w:t>, y no debe ocultarse que hay elementos muy negativos.</w:t>
      </w:r>
      <w:r w:rsidR="007334DB" w:rsidRPr="00A11E8F">
        <w:t xml:space="preserve"> </w:t>
      </w:r>
      <w:r w:rsidR="00B4753E" w:rsidRPr="00A11E8F">
        <w:t xml:space="preserve">Comentaré algunos datos de acuerdo con las estadísticas del </w:t>
      </w:r>
      <w:r w:rsidR="00640427">
        <w:fldChar w:fldCharType="begin" w:fldLock="1"/>
      </w:r>
      <w:r w:rsidR="00640427">
        <w:instrText>ADDIN CSL_CITATION { "citationItems" : [ { "id" : "ITEM-1", "itemData" : { "URL" : "http://www.mecd.gob.es/cultura-mecd/areas-cultura/bibliotecas/mc/ebp/portada.html", "author" : [ { "dropping-particle" : "", "family" : "Ministerio de Educaci\u00f3n Cultura y Deporte", "given" : "", "non-dropping-particle" : "", "parse-names" : false, "suffix" : "" } ], "id" : "ITEM-1", "issued" : { "date-parts" : [ [ "2017" ] ] }, "title" : "Bibliotecas p\u00fablicas espa\u00f1olas en cifras", "type" : "webpage" }, "uris" : [ "http://www.mendeley.com/documents/?uuid=a2cc59ab-843e-4c55-8f67-a3344c50f85f" ] } ], "mendeley" : { "formattedCitation" : "(Ministerio de Educaci\u00f3n Cultura y Deporte, 2017)", "manualFormatting" : "Ministerio de Educaci\u00f3n Cultura y Deporte (2017)", "plainTextFormattedCitation" : "(Ministerio de Educaci\u00f3n Cultura y Deporte, 2017)", "previouslyFormattedCitation" : "(Ministerio de Educaci\u00f3n Cultura y Deporte, 2017)" }, "properties" : { "noteIndex" : 7 }, "schema" : "https://github.com/citation-style-language/schema/raw/master/csl-citation.json" }</w:instrText>
      </w:r>
      <w:r w:rsidR="00640427">
        <w:fldChar w:fldCharType="separate"/>
      </w:r>
      <w:r w:rsidR="00640427" w:rsidRPr="00A11E8F">
        <w:rPr>
          <w:noProof/>
        </w:rPr>
        <w:t>Ministerio de Educación Cultura y Deporte</w:t>
      </w:r>
      <w:r w:rsidR="00640427">
        <w:rPr>
          <w:noProof/>
        </w:rPr>
        <w:t xml:space="preserve"> (</w:t>
      </w:r>
      <w:r w:rsidR="00640427" w:rsidRPr="00A11E8F">
        <w:rPr>
          <w:noProof/>
        </w:rPr>
        <w:t>201</w:t>
      </w:r>
      <w:r w:rsidR="00640427">
        <w:rPr>
          <w:noProof/>
        </w:rPr>
        <w:t>7</w:t>
      </w:r>
      <w:r w:rsidR="00640427" w:rsidRPr="00A11E8F">
        <w:rPr>
          <w:noProof/>
        </w:rPr>
        <w:t>)</w:t>
      </w:r>
      <w:r w:rsidR="00640427">
        <w:fldChar w:fldCharType="end"/>
      </w:r>
      <w:r w:rsidR="00B4753E" w:rsidRPr="00A11E8F">
        <w:t>, que me resultan muy preocupantes</w:t>
      </w:r>
      <w:r w:rsidR="007F4770" w:rsidRPr="00A11E8F">
        <w:t xml:space="preserve"> tanto para España en general como para Andalucía en particular</w:t>
      </w:r>
      <w:r w:rsidR="007334DB" w:rsidRPr="00D14A3D">
        <w:t>. Para nosotros es evidente nuestro papel, pero es la sociedad quien debe considerarlo relevante y eso se materializa en los presupuestos.</w:t>
      </w:r>
    </w:p>
    <w:tbl>
      <w:tblPr>
        <w:tblStyle w:val="Tablaconcuadrcula"/>
        <w:tblW w:w="8642" w:type="dxa"/>
        <w:tblInd w:w="0" w:type="dxa"/>
        <w:tblLook w:val="04A0" w:firstRow="1" w:lastRow="0" w:firstColumn="1" w:lastColumn="0" w:noHBand="0" w:noVBand="1"/>
      </w:tblPr>
      <w:tblGrid>
        <w:gridCol w:w="4673"/>
        <w:gridCol w:w="2126"/>
        <w:gridCol w:w="1843"/>
      </w:tblGrid>
      <w:tr w:rsidR="00DD719E" w:rsidTr="0033639C">
        <w:tc>
          <w:tcPr>
            <w:tcW w:w="4673" w:type="dxa"/>
            <w:tcBorders>
              <w:top w:val="single" w:sz="4" w:space="0" w:color="auto"/>
              <w:left w:val="single" w:sz="4" w:space="0" w:color="auto"/>
              <w:bottom w:val="single" w:sz="4" w:space="0" w:color="auto"/>
              <w:right w:val="single" w:sz="4" w:space="0" w:color="auto"/>
            </w:tcBorders>
          </w:tcPr>
          <w:p w:rsidR="00DD719E" w:rsidRDefault="00DD719E" w:rsidP="001859D2"/>
        </w:tc>
        <w:tc>
          <w:tcPr>
            <w:tcW w:w="2126" w:type="dxa"/>
            <w:tcBorders>
              <w:top w:val="single" w:sz="4" w:space="0" w:color="auto"/>
              <w:left w:val="single" w:sz="4" w:space="0" w:color="auto"/>
              <w:bottom w:val="single" w:sz="4" w:space="0" w:color="auto"/>
              <w:right w:val="single" w:sz="4" w:space="0" w:color="auto"/>
            </w:tcBorders>
            <w:hideMark/>
          </w:tcPr>
          <w:p w:rsidR="00DD719E" w:rsidRDefault="00DD719E" w:rsidP="001859D2">
            <w:r>
              <w:t>España</w:t>
            </w:r>
          </w:p>
        </w:tc>
        <w:tc>
          <w:tcPr>
            <w:tcW w:w="1843" w:type="dxa"/>
            <w:tcBorders>
              <w:top w:val="single" w:sz="4" w:space="0" w:color="auto"/>
              <w:left w:val="single" w:sz="4" w:space="0" w:color="auto"/>
              <w:bottom w:val="single" w:sz="4" w:space="0" w:color="auto"/>
              <w:right w:val="single" w:sz="4" w:space="0" w:color="auto"/>
            </w:tcBorders>
            <w:hideMark/>
          </w:tcPr>
          <w:p w:rsidR="00DD719E" w:rsidRDefault="00DD719E" w:rsidP="001859D2">
            <w:r>
              <w:t>Andalucía</w:t>
            </w:r>
          </w:p>
        </w:tc>
      </w:tr>
      <w:tr w:rsidR="00DD719E" w:rsidTr="0033639C">
        <w:tc>
          <w:tcPr>
            <w:tcW w:w="4673" w:type="dxa"/>
            <w:tcBorders>
              <w:top w:val="single" w:sz="4" w:space="0" w:color="auto"/>
              <w:left w:val="single" w:sz="4" w:space="0" w:color="auto"/>
              <w:bottom w:val="single" w:sz="4" w:space="0" w:color="auto"/>
              <w:right w:val="single" w:sz="4" w:space="0" w:color="auto"/>
            </w:tcBorders>
            <w:hideMark/>
          </w:tcPr>
          <w:p w:rsidR="00DD719E" w:rsidRDefault="00DD719E" w:rsidP="001859D2">
            <w:pPr>
              <w:tabs>
                <w:tab w:val="left" w:pos="3010"/>
              </w:tabs>
            </w:pPr>
            <w:r>
              <w:t xml:space="preserve">Puntos de Servicio bibliotecario 2008 </w:t>
            </w:r>
            <w:r w:rsidR="00331F6D">
              <w:t>–</w:t>
            </w:r>
            <w:r>
              <w:t xml:space="preserve"> 2015</w:t>
            </w:r>
          </w:p>
        </w:tc>
        <w:tc>
          <w:tcPr>
            <w:tcW w:w="2126" w:type="dxa"/>
            <w:tcBorders>
              <w:top w:val="single" w:sz="4" w:space="0" w:color="auto"/>
              <w:left w:val="single" w:sz="4" w:space="0" w:color="auto"/>
              <w:bottom w:val="single" w:sz="4" w:space="0" w:color="auto"/>
              <w:right w:val="single" w:sz="4" w:space="0" w:color="auto"/>
            </w:tcBorders>
            <w:hideMark/>
          </w:tcPr>
          <w:p w:rsidR="00DD719E" w:rsidRDefault="00DD719E" w:rsidP="005A4436">
            <w:r>
              <w:t>5.035 – 4.606</w:t>
            </w:r>
            <w:r w:rsidR="005A4436">
              <w:t xml:space="preserve"> (-</w:t>
            </w:r>
            <w:r>
              <w:t>429)</w:t>
            </w:r>
          </w:p>
        </w:tc>
        <w:tc>
          <w:tcPr>
            <w:tcW w:w="1843" w:type="dxa"/>
            <w:tcBorders>
              <w:top w:val="single" w:sz="4" w:space="0" w:color="auto"/>
              <w:left w:val="single" w:sz="4" w:space="0" w:color="auto"/>
              <w:bottom w:val="single" w:sz="4" w:space="0" w:color="auto"/>
              <w:right w:val="single" w:sz="4" w:space="0" w:color="auto"/>
            </w:tcBorders>
            <w:hideMark/>
          </w:tcPr>
          <w:p w:rsidR="00DD719E" w:rsidRDefault="00DD719E" w:rsidP="001859D2">
            <w:r>
              <w:t>884 – 805 (-79)</w:t>
            </w:r>
          </w:p>
        </w:tc>
      </w:tr>
      <w:tr w:rsidR="00DD719E" w:rsidTr="0033639C">
        <w:tc>
          <w:tcPr>
            <w:tcW w:w="4673" w:type="dxa"/>
            <w:tcBorders>
              <w:top w:val="single" w:sz="4" w:space="0" w:color="auto"/>
              <w:left w:val="single" w:sz="4" w:space="0" w:color="auto"/>
              <w:bottom w:val="single" w:sz="4" w:space="0" w:color="auto"/>
              <w:right w:val="single" w:sz="4" w:space="0" w:color="auto"/>
            </w:tcBorders>
            <w:hideMark/>
          </w:tcPr>
          <w:p w:rsidR="00DD719E" w:rsidRDefault="00DD719E" w:rsidP="0033639C">
            <w:r>
              <w:t>Gasto Corriente en España 200</w:t>
            </w:r>
            <w:r w:rsidR="0033639C">
              <w:t>9</w:t>
            </w:r>
            <w:r>
              <w:t>-2015</w:t>
            </w:r>
            <w:r w:rsidR="00C85C7D">
              <w:t xml:space="preserve"> (mil. e</w:t>
            </w:r>
            <w:r w:rsidR="005A4436">
              <w:t>uros)</w:t>
            </w:r>
          </w:p>
        </w:tc>
        <w:tc>
          <w:tcPr>
            <w:tcW w:w="2126" w:type="dxa"/>
            <w:tcBorders>
              <w:top w:val="single" w:sz="4" w:space="0" w:color="auto"/>
              <w:left w:val="single" w:sz="4" w:space="0" w:color="auto"/>
              <w:bottom w:val="single" w:sz="4" w:space="0" w:color="auto"/>
              <w:right w:val="single" w:sz="4" w:space="0" w:color="auto"/>
            </w:tcBorders>
            <w:hideMark/>
          </w:tcPr>
          <w:p w:rsidR="00DD719E" w:rsidRDefault="00DD719E" w:rsidP="00B909D3">
            <w:r>
              <w:t>4</w:t>
            </w:r>
            <w:r w:rsidR="0033639C">
              <w:t>53</w:t>
            </w:r>
            <w:r>
              <w:t xml:space="preserve"> – 444 (- </w:t>
            </w:r>
            <w:r w:rsidR="00B909D3">
              <w:t>9</w:t>
            </w:r>
            <w:r>
              <w:t>)</w:t>
            </w:r>
          </w:p>
        </w:tc>
        <w:tc>
          <w:tcPr>
            <w:tcW w:w="1843" w:type="dxa"/>
            <w:tcBorders>
              <w:top w:val="single" w:sz="4" w:space="0" w:color="auto"/>
              <w:left w:val="single" w:sz="4" w:space="0" w:color="auto"/>
              <w:bottom w:val="single" w:sz="4" w:space="0" w:color="auto"/>
              <w:right w:val="single" w:sz="4" w:space="0" w:color="auto"/>
            </w:tcBorders>
            <w:hideMark/>
          </w:tcPr>
          <w:p w:rsidR="00DD719E" w:rsidRDefault="0033639C" w:rsidP="001859D2">
            <w:r>
              <w:t>53 – 49 (-4)</w:t>
            </w:r>
          </w:p>
        </w:tc>
      </w:tr>
      <w:tr w:rsidR="00DD719E" w:rsidTr="0033639C">
        <w:tc>
          <w:tcPr>
            <w:tcW w:w="4673" w:type="dxa"/>
            <w:tcBorders>
              <w:top w:val="single" w:sz="4" w:space="0" w:color="auto"/>
              <w:left w:val="single" w:sz="4" w:space="0" w:color="auto"/>
              <w:bottom w:val="single" w:sz="4" w:space="0" w:color="auto"/>
              <w:right w:val="single" w:sz="4" w:space="0" w:color="auto"/>
            </w:tcBorders>
            <w:hideMark/>
          </w:tcPr>
          <w:p w:rsidR="00DD719E" w:rsidRDefault="00432066" w:rsidP="001859D2">
            <w:pPr>
              <w:tabs>
                <w:tab w:val="left" w:pos="3350"/>
              </w:tabs>
            </w:pPr>
            <w:r>
              <w:t>Gasto en bibliotecas por habitante-año 2015</w:t>
            </w:r>
          </w:p>
        </w:tc>
        <w:tc>
          <w:tcPr>
            <w:tcW w:w="2126" w:type="dxa"/>
            <w:tcBorders>
              <w:top w:val="single" w:sz="4" w:space="0" w:color="auto"/>
              <w:left w:val="single" w:sz="4" w:space="0" w:color="auto"/>
              <w:bottom w:val="single" w:sz="4" w:space="0" w:color="auto"/>
              <w:right w:val="single" w:sz="4" w:space="0" w:color="auto"/>
            </w:tcBorders>
            <w:hideMark/>
          </w:tcPr>
          <w:p w:rsidR="00DD719E" w:rsidRDefault="00432066" w:rsidP="001859D2">
            <w:r>
              <w:t>11.4 euros</w:t>
            </w:r>
          </w:p>
        </w:tc>
        <w:tc>
          <w:tcPr>
            <w:tcW w:w="1843" w:type="dxa"/>
            <w:tcBorders>
              <w:top w:val="single" w:sz="4" w:space="0" w:color="auto"/>
              <w:left w:val="single" w:sz="4" w:space="0" w:color="auto"/>
              <w:bottom w:val="single" w:sz="4" w:space="0" w:color="auto"/>
              <w:right w:val="single" w:sz="4" w:space="0" w:color="auto"/>
            </w:tcBorders>
            <w:hideMark/>
          </w:tcPr>
          <w:p w:rsidR="00DD719E" w:rsidRDefault="00432066" w:rsidP="001859D2">
            <w:r>
              <w:t>6.35 euros</w:t>
            </w:r>
          </w:p>
        </w:tc>
      </w:tr>
      <w:tr w:rsidR="00DD719E" w:rsidTr="0033639C">
        <w:tc>
          <w:tcPr>
            <w:tcW w:w="4673" w:type="dxa"/>
            <w:tcBorders>
              <w:top w:val="single" w:sz="4" w:space="0" w:color="auto"/>
              <w:left w:val="single" w:sz="4" w:space="0" w:color="auto"/>
              <w:bottom w:val="single" w:sz="4" w:space="0" w:color="auto"/>
              <w:right w:val="single" w:sz="4" w:space="0" w:color="auto"/>
            </w:tcBorders>
          </w:tcPr>
          <w:p w:rsidR="00DD719E" w:rsidRDefault="00273031" w:rsidP="001859D2">
            <w:r>
              <w:t>Gasto en adquisiciones por habitante 2015</w:t>
            </w:r>
          </w:p>
        </w:tc>
        <w:tc>
          <w:tcPr>
            <w:tcW w:w="2126" w:type="dxa"/>
            <w:tcBorders>
              <w:top w:val="single" w:sz="4" w:space="0" w:color="auto"/>
              <w:left w:val="single" w:sz="4" w:space="0" w:color="auto"/>
              <w:bottom w:val="single" w:sz="4" w:space="0" w:color="auto"/>
              <w:right w:val="single" w:sz="4" w:space="0" w:color="auto"/>
            </w:tcBorders>
          </w:tcPr>
          <w:p w:rsidR="00DD719E" w:rsidRDefault="00273031" w:rsidP="00AB71D4">
            <w:r>
              <w:t>0</w:t>
            </w:r>
            <w:r w:rsidR="00AB71D4">
              <w:t>.</w:t>
            </w:r>
            <w:r>
              <w:t>75 euros</w:t>
            </w:r>
          </w:p>
        </w:tc>
        <w:tc>
          <w:tcPr>
            <w:tcW w:w="1843" w:type="dxa"/>
            <w:tcBorders>
              <w:top w:val="single" w:sz="4" w:space="0" w:color="auto"/>
              <w:left w:val="single" w:sz="4" w:space="0" w:color="auto"/>
              <w:bottom w:val="single" w:sz="4" w:space="0" w:color="auto"/>
              <w:right w:val="single" w:sz="4" w:space="0" w:color="auto"/>
            </w:tcBorders>
          </w:tcPr>
          <w:p w:rsidR="00DD719E" w:rsidRDefault="00273031" w:rsidP="00AB71D4">
            <w:r>
              <w:t>0</w:t>
            </w:r>
            <w:r w:rsidR="00AB71D4">
              <w:t>.</w:t>
            </w:r>
            <w:r>
              <w:t>18 euros</w:t>
            </w:r>
          </w:p>
        </w:tc>
      </w:tr>
      <w:tr w:rsidR="00DD719E" w:rsidTr="0033639C">
        <w:tc>
          <w:tcPr>
            <w:tcW w:w="4673" w:type="dxa"/>
            <w:tcBorders>
              <w:top w:val="single" w:sz="4" w:space="0" w:color="auto"/>
              <w:left w:val="single" w:sz="4" w:space="0" w:color="auto"/>
              <w:bottom w:val="single" w:sz="4" w:space="0" w:color="auto"/>
              <w:right w:val="single" w:sz="4" w:space="0" w:color="auto"/>
            </w:tcBorders>
          </w:tcPr>
          <w:p w:rsidR="00DD719E" w:rsidRDefault="00273031" w:rsidP="001859D2">
            <w:r>
              <w:t>Gasto en personal bibliotecario por habitante</w:t>
            </w:r>
          </w:p>
        </w:tc>
        <w:tc>
          <w:tcPr>
            <w:tcW w:w="2126" w:type="dxa"/>
            <w:tcBorders>
              <w:top w:val="single" w:sz="4" w:space="0" w:color="auto"/>
              <w:left w:val="single" w:sz="4" w:space="0" w:color="auto"/>
              <w:bottom w:val="single" w:sz="4" w:space="0" w:color="auto"/>
              <w:right w:val="single" w:sz="4" w:space="0" w:color="auto"/>
            </w:tcBorders>
          </w:tcPr>
          <w:p w:rsidR="00DD719E" w:rsidRDefault="00273031" w:rsidP="001859D2">
            <w:r>
              <w:t>8.43 euros</w:t>
            </w:r>
          </w:p>
        </w:tc>
        <w:tc>
          <w:tcPr>
            <w:tcW w:w="1843" w:type="dxa"/>
            <w:tcBorders>
              <w:top w:val="single" w:sz="4" w:space="0" w:color="auto"/>
              <w:left w:val="single" w:sz="4" w:space="0" w:color="auto"/>
              <w:bottom w:val="single" w:sz="4" w:space="0" w:color="auto"/>
              <w:right w:val="single" w:sz="4" w:space="0" w:color="auto"/>
            </w:tcBorders>
          </w:tcPr>
          <w:p w:rsidR="00DD719E" w:rsidRDefault="00273031" w:rsidP="001859D2">
            <w:r>
              <w:t>4.82 euros</w:t>
            </w:r>
          </w:p>
        </w:tc>
      </w:tr>
      <w:tr w:rsidR="00BC1C0D" w:rsidTr="0033639C">
        <w:tc>
          <w:tcPr>
            <w:tcW w:w="4673" w:type="dxa"/>
            <w:tcBorders>
              <w:top w:val="single" w:sz="4" w:space="0" w:color="auto"/>
              <w:left w:val="single" w:sz="4" w:space="0" w:color="auto"/>
              <w:bottom w:val="single" w:sz="4" w:space="0" w:color="auto"/>
              <w:right w:val="single" w:sz="4" w:space="0" w:color="auto"/>
            </w:tcBorders>
          </w:tcPr>
          <w:p w:rsidR="00BC1C0D" w:rsidRDefault="00BC1C0D" w:rsidP="001859D2">
            <w:r>
              <w:t>Bibliotecarios ETC por punto de servicio 2015</w:t>
            </w:r>
          </w:p>
        </w:tc>
        <w:tc>
          <w:tcPr>
            <w:tcW w:w="2126" w:type="dxa"/>
            <w:tcBorders>
              <w:top w:val="single" w:sz="4" w:space="0" w:color="auto"/>
              <w:left w:val="single" w:sz="4" w:space="0" w:color="auto"/>
              <w:bottom w:val="single" w:sz="4" w:space="0" w:color="auto"/>
              <w:right w:val="single" w:sz="4" w:space="0" w:color="auto"/>
            </w:tcBorders>
          </w:tcPr>
          <w:p w:rsidR="00BC1C0D" w:rsidRDefault="00BC1C0D" w:rsidP="001859D2">
            <w:r>
              <w:t>2.53</w:t>
            </w:r>
          </w:p>
        </w:tc>
        <w:tc>
          <w:tcPr>
            <w:tcW w:w="1843" w:type="dxa"/>
            <w:tcBorders>
              <w:top w:val="single" w:sz="4" w:space="0" w:color="auto"/>
              <w:left w:val="single" w:sz="4" w:space="0" w:color="auto"/>
              <w:bottom w:val="single" w:sz="4" w:space="0" w:color="auto"/>
              <w:right w:val="single" w:sz="4" w:space="0" w:color="auto"/>
            </w:tcBorders>
          </w:tcPr>
          <w:p w:rsidR="00BC1C0D" w:rsidRDefault="00BC1C0D" w:rsidP="001859D2">
            <w:r>
              <w:t xml:space="preserve">1.82 </w:t>
            </w:r>
          </w:p>
        </w:tc>
      </w:tr>
      <w:tr w:rsidR="00DD719E" w:rsidTr="0033639C">
        <w:tc>
          <w:tcPr>
            <w:tcW w:w="4673" w:type="dxa"/>
            <w:tcBorders>
              <w:top w:val="single" w:sz="4" w:space="0" w:color="auto"/>
              <w:left w:val="single" w:sz="4" w:space="0" w:color="auto"/>
              <w:bottom w:val="single" w:sz="4" w:space="0" w:color="auto"/>
              <w:right w:val="single" w:sz="4" w:space="0" w:color="auto"/>
            </w:tcBorders>
          </w:tcPr>
          <w:p w:rsidR="00DD719E" w:rsidRDefault="00273031" w:rsidP="00D14A3D">
            <w:r>
              <w:t xml:space="preserve">Incorporaciones por </w:t>
            </w:r>
            <w:r w:rsidR="00D14A3D">
              <w:t>biblioteca</w:t>
            </w:r>
            <w:r>
              <w:t xml:space="preserve"> 2015</w:t>
            </w:r>
          </w:p>
        </w:tc>
        <w:tc>
          <w:tcPr>
            <w:tcW w:w="2126" w:type="dxa"/>
            <w:tcBorders>
              <w:top w:val="single" w:sz="4" w:space="0" w:color="auto"/>
              <w:left w:val="single" w:sz="4" w:space="0" w:color="auto"/>
              <w:bottom w:val="single" w:sz="4" w:space="0" w:color="auto"/>
              <w:right w:val="single" w:sz="4" w:space="0" w:color="auto"/>
            </w:tcBorders>
          </w:tcPr>
          <w:p w:rsidR="00DD719E" w:rsidRDefault="00273031" w:rsidP="001859D2">
            <w:r>
              <w:t xml:space="preserve">769 </w:t>
            </w:r>
            <w:r w:rsidR="0033639C">
              <w:t>doc</w:t>
            </w:r>
            <w:r w:rsidR="00D14A3D">
              <w:t>umentos</w:t>
            </w:r>
          </w:p>
        </w:tc>
        <w:tc>
          <w:tcPr>
            <w:tcW w:w="1843" w:type="dxa"/>
            <w:tcBorders>
              <w:top w:val="single" w:sz="4" w:space="0" w:color="auto"/>
              <w:left w:val="single" w:sz="4" w:space="0" w:color="auto"/>
              <w:bottom w:val="single" w:sz="4" w:space="0" w:color="auto"/>
              <w:right w:val="single" w:sz="4" w:space="0" w:color="auto"/>
            </w:tcBorders>
          </w:tcPr>
          <w:p w:rsidR="00DD719E" w:rsidRDefault="00273031" w:rsidP="0033639C">
            <w:r>
              <w:t>500 doc</w:t>
            </w:r>
            <w:r w:rsidR="00D14A3D">
              <w:t>umentos</w:t>
            </w:r>
          </w:p>
        </w:tc>
      </w:tr>
      <w:tr w:rsidR="00DD719E" w:rsidTr="0033639C">
        <w:tc>
          <w:tcPr>
            <w:tcW w:w="4673" w:type="dxa"/>
            <w:tcBorders>
              <w:top w:val="single" w:sz="4" w:space="0" w:color="auto"/>
              <w:left w:val="single" w:sz="4" w:space="0" w:color="auto"/>
              <w:bottom w:val="single" w:sz="4" w:space="0" w:color="auto"/>
              <w:right w:val="single" w:sz="4" w:space="0" w:color="auto"/>
            </w:tcBorders>
          </w:tcPr>
          <w:p w:rsidR="00DD719E" w:rsidRDefault="00273031" w:rsidP="001859D2">
            <w:r>
              <w:t>Usuarios inscritos en bibliotecas públicas 2015</w:t>
            </w:r>
          </w:p>
        </w:tc>
        <w:tc>
          <w:tcPr>
            <w:tcW w:w="2126" w:type="dxa"/>
            <w:tcBorders>
              <w:top w:val="single" w:sz="4" w:space="0" w:color="auto"/>
              <w:left w:val="single" w:sz="4" w:space="0" w:color="auto"/>
              <w:bottom w:val="single" w:sz="4" w:space="0" w:color="auto"/>
              <w:right w:val="single" w:sz="4" w:space="0" w:color="auto"/>
            </w:tcBorders>
          </w:tcPr>
          <w:p w:rsidR="00DD719E" w:rsidRDefault="00273031" w:rsidP="00AB71D4">
            <w:r>
              <w:t>36</w:t>
            </w:r>
            <w:r w:rsidR="00AB71D4">
              <w:t>.</w:t>
            </w:r>
            <w:r>
              <w:t>3 de cada 100</w:t>
            </w:r>
          </w:p>
        </w:tc>
        <w:tc>
          <w:tcPr>
            <w:tcW w:w="1843" w:type="dxa"/>
            <w:tcBorders>
              <w:top w:val="single" w:sz="4" w:space="0" w:color="auto"/>
              <w:left w:val="single" w:sz="4" w:space="0" w:color="auto"/>
              <w:bottom w:val="single" w:sz="4" w:space="0" w:color="auto"/>
              <w:right w:val="single" w:sz="4" w:space="0" w:color="auto"/>
            </w:tcBorders>
          </w:tcPr>
          <w:p w:rsidR="00DD719E" w:rsidRDefault="00273031" w:rsidP="00AB71D4">
            <w:r>
              <w:t>25</w:t>
            </w:r>
            <w:r w:rsidR="00AB71D4">
              <w:t>.</w:t>
            </w:r>
            <w:r>
              <w:t>3 de cada 100</w:t>
            </w:r>
          </w:p>
        </w:tc>
      </w:tr>
      <w:tr w:rsidR="00273031" w:rsidTr="0033639C">
        <w:tc>
          <w:tcPr>
            <w:tcW w:w="4673" w:type="dxa"/>
            <w:tcBorders>
              <w:top w:val="single" w:sz="4" w:space="0" w:color="auto"/>
              <w:left w:val="single" w:sz="4" w:space="0" w:color="auto"/>
              <w:bottom w:val="single" w:sz="4" w:space="0" w:color="auto"/>
              <w:right w:val="single" w:sz="4" w:space="0" w:color="auto"/>
            </w:tcBorders>
          </w:tcPr>
          <w:p w:rsidR="00273031" w:rsidRDefault="00273031" w:rsidP="001859D2">
            <w:r>
              <w:t>Usuarios activos con al menos un préstamo 2015</w:t>
            </w:r>
          </w:p>
        </w:tc>
        <w:tc>
          <w:tcPr>
            <w:tcW w:w="2126" w:type="dxa"/>
            <w:tcBorders>
              <w:top w:val="single" w:sz="4" w:space="0" w:color="auto"/>
              <w:left w:val="single" w:sz="4" w:space="0" w:color="auto"/>
              <w:bottom w:val="single" w:sz="4" w:space="0" w:color="auto"/>
              <w:right w:val="single" w:sz="4" w:space="0" w:color="auto"/>
            </w:tcBorders>
          </w:tcPr>
          <w:p w:rsidR="00273031" w:rsidRDefault="00273031" w:rsidP="001859D2">
            <w:r>
              <w:t>9.9 de cada 100</w:t>
            </w:r>
          </w:p>
        </w:tc>
        <w:tc>
          <w:tcPr>
            <w:tcW w:w="1843" w:type="dxa"/>
            <w:tcBorders>
              <w:top w:val="single" w:sz="4" w:space="0" w:color="auto"/>
              <w:left w:val="single" w:sz="4" w:space="0" w:color="auto"/>
              <w:bottom w:val="single" w:sz="4" w:space="0" w:color="auto"/>
              <w:right w:val="single" w:sz="4" w:space="0" w:color="auto"/>
            </w:tcBorders>
          </w:tcPr>
          <w:p w:rsidR="00273031" w:rsidRDefault="00273031" w:rsidP="001859D2">
            <w:r>
              <w:t xml:space="preserve"> 4.5 de cada 100</w:t>
            </w:r>
          </w:p>
        </w:tc>
      </w:tr>
      <w:tr w:rsidR="00EA2E33" w:rsidTr="0033639C">
        <w:tc>
          <w:tcPr>
            <w:tcW w:w="4673" w:type="dxa"/>
            <w:tcBorders>
              <w:top w:val="single" w:sz="4" w:space="0" w:color="auto"/>
              <w:left w:val="single" w:sz="4" w:space="0" w:color="auto"/>
              <w:bottom w:val="single" w:sz="4" w:space="0" w:color="auto"/>
              <w:right w:val="single" w:sz="4" w:space="0" w:color="auto"/>
            </w:tcBorders>
          </w:tcPr>
          <w:p w:rsidR="00EA2E33" w:rsidRDefault="00EA2E33" w:rsidP="001859D2">
            <w:r>
              <w:t>Préstamos por habitante 2015</w:t>
            </w:r>
          </w:p>
        </w:tc>
        <w:tc>
          <w:tcPr>
            <w:tcW w:w="2126" w:type="dxa"/>
            <w:tcBorders>
              <w:top w:val="single" w:sz="4" w:space="0" w:color="auto"/>
              <w:left w:val="single" w:sz="4" w:space="0" w:color="auto"/>
              <w:bottom w:val="single" w:sz="4" w:space="0" w:color="auto"/>
              <w:right w:val="single" w:sz="4" w:space="0" w:color="auto"/>
            </w:tcBorders>
          </w:tcPr>
          <w:p w:rsidR="00EA2E33" w:rsidRDefault="00EA2E33" w:rsidP="001859D2">
            <w:r>
              <w:t>1.11</w:t>
            </w:r>
          </w:p>
        </w:tc>
        <w:tc>
          <w:tcPr>
            <w:tcW w:w="1843" w:type="dxa"/>
            <w:tcBorders>
              <w:top w:val="single" w:sz="4" w:space="0" w:color="auto"/>
              <w:left w:val="single" w:sz="4" w:space="0" w:color="auto"/>
              <w:bottom w:val="single" w:sz="4" w:space="0" w:color="auto"/>
              <w:right w:val="single" w:sz="4" w:space="0" w:color="auto"/>
            </w:tcBorders>
          </w:tcPr>
          <w:p w:rsidR="00EA2E33" w:rsidRDefault="00EA2E33" w:rsidP="001859D2">
            <w:r>
              <w:t>0,42</w:t>
            </w:r>
          </w:p>
        </w:tc>
      </w:tr>
      <w:tr w:rsidR="00AB71D4" w:rsidTr="0033639C">
        <w:tc>
          <w:tcPr>
            <w:tcW w:w="4673" w:type="dxa"/>
            <w:tcBorders>
              <w:top w:val="single" w:sz="4" w:space="0" w:color="auto"/>
              <w:left w:val="single" w:sz="4" w:space="0" w:color="auto"/>
              <w:bottom w:val="single" w:sz="4" w:space="0" w:color="auto"/>
              <w:right w:val="single" w:sz="4" w:space="0" w:color="auto"/>
            </w:tcBorders>
          </w:tcPr>
          <w:p w:rsidR="00AB71D4" w:rsidRDefault="00AB71D4" w:rsidP="001859D2">
            <w:r>
              <w:t>Visitas por habitante 2015</w:t>
            </w:r>
          </w:p>
        </w:tc>
        <w:tc>
          <w:tcPr>
            <w:tcW w:w="2126" w:type="dxa"/>
            <w:tcBorders>
              <w:top w:val="single" w:sz="4" w:space="0" w:color="auto"/>
              <w:left w:val="single" w:sz="4" w:space="0" w:color="auto"/>
              <w:bottom w:val="single" w:sz="4" w:space="0" w:color="auto"/>
              <w:right w:val="single" w:sz="4" w:space="0" w:color="auto"/>
            </w:tcBorders>
          </w:tcPr>
          <w:p w:rsidR="00AB71D4" w:rsidRDefault="00AB71D4" w:rsidP="00AB71D4">
            <w:r>
              <w:t xml:space="preserve">2.36 </w:t>
            </w:r>
          </w:p>
        </w:tc>
        <w:tc>
          <w:tcPr>
            <w:tcW w:w="1843" w:type="dxa"/>
            <w:tcBorders>
              <w:top w:val="single" w:sz="4" w:space="0" w:color="auto"/>
              <w:left w:val="single" w:sz="4" w:space="0" w:color="auto"/>
              <w:bottom w:val="single" w:sz="4" w:space="0" w:color="auto"/>
              <w:right w:val="single" w:sz="4" w:space="0" w:color="auto"/>
            </w:tcBorders>
          </w:tcPr>
          <w:p w:rsidR="00AB71D4" w:rsidRDefault="00AB71D4" w:rsidP="001859D2">
            <w:r>
              <w:t>1.56</w:t>
            </w:r>
          </w:p>
        </w:tc>
      </w:tr>
      <w:tr w:rsidR="00902171" w:rsidTr="0033639C">
        <w:tc>
          <w:tcPr>
            <w:tcW w:w="4673" w:type="dxa"/>
            <w:tcBorders>
              <w:top w:val="single" w:sz="4" w:space="0" w:color="auto"/>
              <w:left w:val="single" w:sz="4" w:space="0" w:color="auto"/>
              <w:bottom w:val="single" w:sz="4" w:space="0" w:color="auto"/>
              <w:right w:val="single" w:sz="4" w:space="0" w:color="auto"/>
            </w:tcBorders>
          </w:tcPr>
          <w:p w:rsidR="00902171" w:rsidRDefault="00902171" w:rsidP="00902171">
            <w:r>
              <w:t>Ordenadores internet - 10000 habitantes 2</w:t>
            </w:r>
            <w:r w:rsidR="009B1CED">
              <w:t>.</w:t>
            </w:r>
            <w:r>
              <w:t>015</w:t>
            </w:r>
          </w:p>
        </w:tc>
        <w:tc>
          <w:tcPr>
            <w:tcW w:w="2126" w:type="dxa"/>
            <w:tcBorders>
              <w:top w:val="single" w:sz="4" w:space="0" w:color="auto"/>
              <w:left w:val="single" w:sz="4" w:space="0" w:color="auto"/>
              <w:bottom w:val="single" w:sz="4" w:space="0" w:color="auto"/>
              <w:right w:val="single" w:sz="4" w:space="0" w:color="auto"/>
            </w:tcBorders>
          </w:tcPr>
          <w:p w:rsidR="00902171" w:rsidRDefault="00902171" w:rsidP="00902171">
            <w:r>
              <w:t>5.51</w:t>
            </w:r>
          </w:p>
        </w:tc>
        <w:tc>
          <w:tcPr>
            <w:tcW w:w="1843" w:type="dxa"/>
            <w:tcBorders>
              <w:top w:val="single" w:sz="4" w:space="0" w:color="auto"/>
              <w:left w:val="single" w:sz="4" w:space="0" w:color="auto"/>
              <w:bottom w:val="single" w:sz="4" w:space="0" w:color="auto"/>
              <w:right w:val="single" w:sz="4" w:space="0" w:color="auto"/>
            </w:tcBorders>
          </w:tcPr>
          <w:p w:rsidR="00902171" w:rsidRDefault="00902171" w:rsidP="001859D2">
            <w:r>
              <w:t>3.27</w:t>
            </w:r>
          </w:p>
        </w:tc>
      </w:tr>
    </w:tbl>
    <w:p w:rsidR="00B4753E" w:rsidRDefault="00B4753E" w:rsidP="007334DB">
      <w:pPr>
        <w:jc w:val="both"/>
      </w:pPr>
    </w:p>
    <w:p w:rsidR="00B4753E" w:rsidRDefault="00B4753E" w:rsidP="00B4753E">
      <w:pPr>
        <w:jc w:val="both"/>
      </w:pPr>
      <w:r>
        <w:t>Así</w:t>
      </w:r>
      <w:r w:rsidR="00531C26">
        <w:t xml:space="preserve">, vemos que </w:t>
      </w:r>
      <w:r>
        <w:t xml:space="preserve">de 2008 a 2015 se han perdido 429 puntos de servicio bibliotecario, pasándose de 5.035 a 4.606. En Andalucía son 79 menos, al pasarse de 884 a 805. Hay que decir que las pérdidas no se producen por igual en toda España, pues, por ejemplo, en Cataluña en ese mismo </w:t>
      </w:r>
      <w:r>
        <w:lastRenderedPageBreak/>
        <w:t>periodo creció en 58 el número de puntos de servicio. Si tenemos una política bibliotecaria con las ideas claras las bibliotecas pueden seguir potenciándose durante la crisis y precisamente por</w:t>
      </w:r>
      <w:r w:rsidR="00A41AFE">
        <w:t xml:space="preserve"> las necesidades sociales que crea</w:t>
      </w:r>
      <w:r>
        <w:t xml:space="preserve">. </w:t>
      </w:r>
    </w:p>
    <w:p w:rsidR="00B4753E" w:rsidRDefault="00B4753E" w:rsidP="00273031">
      <w:pPr>
        <w:jc w:val="both"/>
      </w:pPr>
      <w:r>
        <w:t>El gasto corrien</w:t>
      </w:r>
      <w:r w:rsidR="007F4770">
        <w:t>te total en España en 2015 en bibliotecas públicas</w:t>
      </w:r>
      <w:r w:rsidR="00651AC7">
        <w:t xml:space="preserve"> se quedó en</w:t>
      </w:r>
      <w:r>
        <w:t xml:space="preserve"> 444 millones</w:t>
      </w:r>
      <w:r w:rsidR="007F4770">
        <w:t xml:space="preserve"> de euros</w:t>
      </w:r>
      <w:r>
        <w:t xml:space="preserve">, </w:t>
      </w:r>
      <w:r w:rsidR="00B909D3">
        <w:t>nuev</w:t>
      </w:r>
      <w:r w:rsidR="0033639C">
        <w:t>e m</w:t>
      </w:r>
      <w:r w:rsidR="00A11E8F">
        <w:t>e</w:t>
      </w:r>
      <w:r w:rsidR="0033639C">
        <w:t>nos que en 20</w:t>
      </w:r>
      <w:r w:rsidR="00A11E8F">
        <w:t>0</w:t>
      </w:r>
      <w:r w:rsidR="0033639C">
        <w:t>9</w:t>
      </w:r>
      <w:r>
        <w:t xml:space="preserve">, además de </w:t>
      </w:r>
      <w:r w:rsidR="00A11E8F">
        <w:t xml:space="preserve">un </w:t>
      </w:r>
      <w:r w:rsidR="007F4770">
        <w:t xml:space="preserve">gasto </w:t>
      </w:r>
      <w:r>
        <w:t xml:space="preserve">mucho menor gasto en inversiones. </w:t>
      </w:r>
      <w:r w:rsidR="00A11E8F">
        <w:t xml:space="preserve">En </w:t>
      </w:r>
      <w:r>
        <w:t xml:space="preserve">España </w:t>
      </w:r>
      <w:r w:rsidR="007F4770">
        <w:t xml:space="preserve">estamos gastando por término medio </w:t>
      </w:r>
      <w:r>
        <w:t>11.4 euros por habitante y año</w:t>
      </w:r>
      <w:r w:rsidR="007F4770">
        <w:t xml:space="preserve"> para las bibliotecas</w:t>
      </w:r>
      <w:r>
        <w:t>, una cifra que me parece ridícula, y que en Anda</w:t>
      </w:r>
      <w:r w:rsidR="007F4770">
        <w:t>lucía es aú</w:t>
      </w:r>
      <w:r>
        <w:t>n menor: 6,35 euros por habitante, lo que supone un 40% de lo que se invierte en Cataluña (15.04</w:t>
      </w:r>
      <w:r w:rsidR="007F4770">
        <w:t xml:space="preserve"> euros por habitantes y año</w:t>
      </w:r>
      <w:r>
        <w:t>) o</w:t>
      </w:r>
      <w:r w:rsidR="007F4770">
        <w:t xml:space="preserve"> en</w:t>
      </w:r>
      <w:r>
        <w:t xml:space="preserve"> Castilla-La Mancha (16.40</w:t>
      </w:r>
      <w:r w:rsidR="007F4770">
        <w:t xml:space="preserve"> euros</w:t>
      </w:r>
      <w:r>
        <w:t>). El gasto en adquisiciones por habitante en España en 2015 estuvo en 0.75 euros, pero en Andalucía solo 0.18. En bibliotecarios, en España se gasta 8.43 por habitante, y en Andalucía solo 4.82 euros.</w:t>
      </w:r>
      <w:r w:rsidR="00273031">
        <w:t xml:space="preserve"> </w:t>
      </w:r>
      <w:r>
        <w:t>En 2015 entraron o se incorporaron 500 nuevos tí</w:t>
      </w:r>
      <w:r w:rsidR="007F4770">
        <w:t>tulos por biblioteca en Andalucí</w:t>
      </w:r>
      <w:r>
        <w:t>a, frente a los 769 de media en España.</w:t>
      </w:r>
      <w:r w:rsidRPr="00801FB8">
        <w:t xml:space="preserve"> </w:t>
      </w:r>
    </w:p>
    <w:p w:rsidR="00B4753E" w:rsidRDefault="00B4753E" w:rsidP="007334DB">
      <w:pPr>
        <w:jc w:val="both"/>
      </w:pPr>
      <w:r>
        <w:t xml:space="preserve">En España en </w:t>
      </w:r>
      <w:r w:rsidRPr="00801FB8">
        <w:t>2015 un 36,3% de los españoles eran usuarios de bibliotecas públicas</w:t>
      </w:r>
      <w:r>
        <w:t xml:space="preserve">, pero en Andalucía este dato baja al </w:t>
      </w:r>
      <w:r w:rsidRPr="00801FB8">
        <w:t>25,3%</w:t>
      </w:r>
      <w:r>
        <w:t xml:space="preserve">, solo por debajo de </w:t>
      </w:r>
      <w:r w:rsidRPr="00801FB8">
        <w:t>Cantabria (22,2%) y Canarias (17,7%).</w:t>
      </w:r>
      <w:r w:rsidR="007334DB">
        <w:t xml:space="preserve"> </w:t>
      </w:r>
      <w:r>
        <w:t>De estos usuarios, los que son activos (entendiendo por ello que se llevaron un préstamo en el año anterior, solo son el 9.9 % de media en España, y en A</w:t>
      </w:r>
      <w:r w:rsidR="007334DB">
        <w:t xml:space="preserve">ndalucía solo 4.5 de cada cien. </w:t>
      </w:r>
      <w:r>
        <w:t>Las visitas por habitante en España son 2.36 en 2015, pero en Andalucía solo 1.56.</w:t>
      </w:r>
      <w:r w:rsidR="00531C26">
        <w:t xml:space="preserve"> </w:t>
      </w:r>
      <w:r w:rsidR="001859D2">
        <w:t xml:space="preserve"> </w:t>
      </w:r>
    </w:p>
    <w:p w:rsidR="009B1CED" w:rsidRDefault="00AB71D4" w:rsidP="00E53B08">
      <w:pPr>
        <w:tabs>
          <w:tab w:val="left" w:pos="7360"/>
        </w:tabs>
        <w:jc w:val="both"/>
      </w:pPr>
      <w:r>
        <w:t>Mi diagnóstico es obvio: en términos cuantitativos</w:t>
      </w:r>
      <w:r w:rsidRPr="00D14A3D">
        <w:t>, hay una</w:t>
      </w:r>
      <w:r w:rsidR="000F4B47" w:rsidRPr="00D14A3D">
        <w:t xml:space="preserve"> inaceptable </w:t>
      </w:r>
      <w:r w:rsidRPr="00D14A3D">
        <w:t>baj</w:t>
      </w:r>
      <w:r w:rsidR="00020A7B" w:rsidRPr="00D14A3D">
        <w:t>ísima financiación de las bibliotecas públicas, y l</w:t>
      </w:r>
      <w:r w:rsidRPr="00D14A3D">
        <w:t>a incidencia de la biblioteca</w:t>
      </w:r>
      <w:r w:rsidR="00020A7B" w:rsidRPr="00D14A3D">
        <w:t xml:space="preserve"> en la vida de la población</w:t>
      </w:r>
      <w:r w:rsidRPr="00D14A3D">
        <w:t xml:space="preserve"> </w:t>
      </w:r>
      <w:r w:rsidR="009B1CED" w:rsidRPr="00D14A3D">
        <w:t xml:space="preserve">en términos globales </w:t>
      </w:r>
      <w:r w:rsidR="00020A7B" w:rsidRPr="00D14A3D">
        <w:t xml:space="preserve">es reducida. </w:t>
      </w:r>
      <w:r w:rsidR="00D14A3D">
        <w:t>Más allá de lo que reflejan los datos, l</w:t>
      </w:r>
      <w:r w:rsidR="00020A7B">
        <w:t>a dotación tecnológica ha debido envejecer bastante, igual que las colecciones</w:t>
      </w:r>
      <w:r w:rsidR="00531C26">
        <w:t>,</w:t>
      </w:r>
      <w:r w:rsidR="00020A7B">
        <w:t xml:space="preserve"> por lo que </w:t>
      </w:r>
      <w:r w:rsidR="00A11E8F">
        <w:t xml:space="preserve">se reducen </w:t>
      </w:r>
      <w:r w:rsidR="00020A7B">
        <w:t>los préstamos documentales.</w:t>
      </w:r>
      <w:r w:rsidR="000F4B47">
        <w:t xml:space="preserve"> </w:t>
      </w:r>
      <w:r w:rsidR="00C85C7D">
        <w:t xml:space="preserve"> </w:t>
      </w:r>
      <w:r w:rsidR="00531C26">
        <w:t xml:space="preserve">La parte positiva es </w:t>
      </w:r>
      <w:r w:rsidR="002F618D">
        <w:t>que las visitas por habitante se mantienen, lo que asociamos al uso principal como espacio de estudio y estancia</w:t>
      </w:r>
      <w:r w:rsidR="00EA2E33">
        <w:t>, y</w:t>
      </w:r>
      <w:r w:rsidR="00531C26">
        <w:t xml:space="preserve"> que ha habido un </w:t>
      </w:r>
      <w:r w:rsidR="00EA2E33">
        <w:t xml:space="preserve">incremento de la labor social a través de un mayor énfasis en </w:t>
      </w:r>
      <w:r w:rsidR="009B1CED">
        <w:t xml:space="preserve">programas específicos, </w:t>
      </w:r>
      <w:r w:rsidR="00EA2E33">
        <w:t>actividades culturales, talleres</w:t>
      </w:r>
      <w:r w:rsidR="00D14A3D">
        <w:t xml:space="preserve"> formativos</w:t>
      </w:r>
      <w:r w:rsidR="00EA2E33">
        <w:t>, y sesiones de acceso a internet</w:t>
      </w:r>
      <w:r w:rsidR="00531C26">
        <w:t xml:space="preserve">, que </w:t>
      </w:r>
      <w:r w:rsidR="00A11E8F">
        <w:t xml:space="preserve">han superado </w:t>
      </w:r>
      <w:r w:rsidR="00531C26">
        <w:t xml:space="preserve">los diecisiete millones </w:t>
      </w:r>
      <w:r w:rsidR="00A11E8F">
        <w:t>en 2015</w:t>
      </w:r>
      <w:r w:rsidR="00EA2E33">
        <w:t>.</w:t>
      </w:r>
      <w:r w:rsidR="00531C26">
        <w:t xml:space="preserve"> </w:t>
      </w:r>
    </w:p>
    <w:p w:rsidR="00531C26" w:rsidRDefault="00531C26" w:rsidP="00E53B08">
      <w:pPr>
        <w:tabs>
          <w:tab w:val="left" w:pos="7360"/>
        </w:tabs>
        <w:jc w:val="both"/>
      </w:pPr>
      <w:r>
        <w:t>Pero esto no es suficiente, y me parece que</w:t>
      </w:r>
      <w:r w:rsidR="00A11E8F">
        <w:t xml:space="preserve">, </w:t>
      </w:r>
      <w:r w:rsidR="00A11E8F" w:rsidRPr="00D14A3D">
        <w:t>del mismo mod</w:t>
      </w:r>
      <w:r w:rsidR="00E53B08" w:rsidRPr="00D14A3D">
        <w:t>o</w:t>
      </w:r>
      <w:r w:rsidRPr="00D14A3D">
        <w:t xml:space="preserve"> que la crisis ha aumentado la desigualdad social, en las bibliotecas también se ha incrementado la desigualdad, incrementándose en dos niveles: entre las bibliotecas por tamaño de población, que ha afectado a las más pequeñas, y la desigualdad inter</w:t>
      </w:r>
      <w:r w:rsidR="001B7480" w:rsidRPr="00D14A3D">
        <w:t>-</w:t>
      </w:r>
      <w:r w:rsidRPr="00D14A3D">
        <w:t>autonómica</w:t>
      </w:r>
      <w:r w:rsidR="00A11E8F">
        <w:t xml:space="preserve"> </w:t>
      </w:r>
      <w:r w:rsidR="00A11E8F">
        <w:fldChar w:fldCharType="begin" w:fldLock="1"/>
      </w:r>
      <w:r w:rsidR="00A11E8F">
        <w:instrText>ADDIN CSL_CITATION { "citationItems" : [ { "id" : "ITEM-1", "itemData" : { "author" : [ { "dropping-particle" : "", "family" : "G\u00f3mez-Hern\u00e1ndez", "given" : "Jos\u00e9-Antonio", "non-dropping-particle" : "", "parse-names" : false, "suffix" : "" } ], "container-title" : "La Lectura en Espa\u00f1a. Informe 2017", "editor" : [ { "dropping-particle" : "", "family" : "Mill\u00e1n", "given" : "Jos\u00e9 Antonio", "non-dropping-particle" : "", "parse-names" : false, "suffix" : "" } ], "id" : "ITEM-1", "issued" : { "date-parts" : [ [ "2016" ] ] }, "publisher" : "Federaci\u00f3n de Gremios de Editores", "publisher-place" : "Madrid", "title" : "Las bibliotecas", "type" : "chapter" }, "uris" : [ "http://www.mendeley.com/documents/?uuid=d5fb2c26-a572-442d-9d5c-b8755c5ca037" ] } ], "mendeley" : { "formattedCitation" : "(G\u00f3mez-Hern\u00e1ndez, 2016)", "plainTextFormattedCitation" : "(G\u00f3mez-Hern\u00e1ndez, 2016)", "previouslyFormattedCitation" : "(G\u00f3mez-Hern\u00e1ndez, 2016)" }, "properties" : { "noteIndex" : 7 }, "schema" : "https://github.com/citation-style-language/schema/raw/master/csl-citation.json" }</w:instrText>
      </w:r>
      <w:r w:rsidR="00A11E8F">
        <w:fldChar w:fldCharType="separate"/>
      </w:r>
      <w:r w:rsidR="00A11E8F" w:rsidRPr="009E6F0C">
        <w:rPr>
          <w:noProof/>
        </w:rPr>
        <w:t>(Gómez-Hernández, 2016)</w:t>
      </w:r>
      <w:r w:rsidR="00A11E8F">
        <w:fldChar w:fldCharType="end"/>
      </w:r>
      <w:r w:rsidR="001859D2">
        <w:t>, pues las comunidades más pobres en términos de renta o financiación también han visto más afectadas sus sistemas bibliotecarios</w:t>
      </w:r>
      <w:r w:rsidR="00A11E8F">
        <w:t>, como reflejan los gráficos.</w:t>
      </w:r>
      <w:r w:rsidR="00E53B08">
        <w:t xml:space="preserve"> En lo que respecta a Andalucía, es de las autonomías peor financiadas en euros por habitante, pero no creo que sea suficiente justificación para un apoyo tan pequeño</w:t>
      </w:r>
      <w:r w:rsidR="000F4B47">
        <w:t xml:space="preserve"> a las bibliotecas</w:t>
      </w:r>
      <w:r w:rsidR="00E53B08">
        <w:t>.</w:t>
      </w:r>
    </w:p>
    <w:p w:rsidR="00E53B08" w:rsidRDefault="00E53B08" w:rsidP="00A11E8F">
      <w:pPr>
        <w:tabs>
          <w:tab w:val="left" w:pos="7360"/>
        </w:tabs>
        <w:jc w:val="both"/>
      </w:pPr>
    </w:p>
    <w:p w:rsidR="001859D2" w:rsidRDefault="001859D2" w:rsidP="001859D2">
      <w:pPr>
        <w:keepNext/>
        <w:tabs>
          <w:tab w:val="left" w:pos="284"/>
        </w:tabs>
        <w:spacing w:line="276" w:lineRule="auto"/>
        <w:jc w:val="center"/>
      </w:pPr>
      <w:r>
        <w:rPr>
          <w:noProof/>
          <w:lang w:eastAsia="es-ES"/>
        </w:rPr>
        <w:lastRenderedPageBreak/>
        <w:drawing>
          <wp:inline distT="0" distB="0" distL="0" distR="0" wp14:anchorId="49F457D9" wp14:editId="3DDAF8B3">
            <wp:extent cx="5219700" cy="37147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59D2" w:rsidRDefault="001859D2" w:rsidP="001859D2">
      <w:pPr>
        <w:pStyle w:val="Descripcin"/>
        <w:spacing w:line="276" w:lineRule="auto"/>
        <w:jc w:val="center"/>
        <w:rPr>
          <w:noProof/>
        </w:rPr>
      </w:pPr>
      <w:r>
        <w:t>Gráfico 1: Incremento o descenso del número de bibliotecas públicas de 2010 a 2014</w:t>
      </w:r>
      <w:r>
        <w:rPr>
          <w:noProof/>
        </w:rPr>
        <w:t>. Fuente: MECD, 2015ª</w:t>
      </w:r>
    </w:p>
    <w:p w:rsidR="001859D2" w:rsidRDefault="001859D2" w:rsidP="002F3DF5">
      <w:pPr>
        <w:keepNext/>
        <w:jc w:val="center"/>
      </w:pPr>
      <w:r>
        <w:rPr>
          <w:noProof/>
          <w:lang w:eastAsia="es-ES"/>
        </w:rPr>
        <w:drawing>
          <wp:inline distT="0" distB="0" distL="0" distR="0">
            <wp:extent cx="5388939" cy="33909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mez_Grafico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6269" cy="3426974"/>
                    </a:xfrm>
                    <a:prstGeom prst="rect">
                      <a:avLst/>
                    </a:prstGeom>
                  </pic:spPr>
                </pic:pic>
              </a:graphicData>
            </a:graphic>
          </wp:inline>
        </w:drawing>
      </w:r>
    </w:p>
    <w:p w:rsidR="00780956" w:rsidRDefault="001859D2" w:rsidP="002F3DF5">
      <w:pPr>
        <w:pStyle w:val="Descripcin"/>
        <w:jc w:val="center"/>
      </w:pPr>
      <w:r>
        <w:t>Gráfico 2 Incremento o descenso del número de bibliotecarios 2010-2014</w:t>
      </w:r>
    </w:p>
    <w:p w:rsidR="00D14A3D" w:rsidRDefault="00350B08" w:rsidP="00350B08">
      <w:pPr>
        <w:tabs>
          <w:tab w:val="left" w:pos="7360"/>
        </w:tabs>
        <w:jc w:val="both"/>
      </w:pPr>
      <w:r>
        <w:t>La alternativa en Gran Bretaña, tras el esfuerzo del voluntariado y las muchas campañas que demuestran que cambiamos vidas, ha sido la redacción conjunta y la petición de un plan global 2016-2021 para refinanciar</w:t>
      </w:r>
      <w:r w:rsidR="00651AC7">
        <w:t xml:space="preserve"> y en cierto modo rescatar</w:t>
      </w:r>
      <w:r>
        <w:t xml:space="preserve"> las bibliotecas: </w:t>
      </w:r>
      <w:r w:rsidRPr="00350B08">
        <w:rPr>
          <w:rFonts w:ascii="Calibri" w:hAnsi="Calibri" w:cs="Calibri"/>
          <w:i/>
          <w:noProof/>
          <w:szCs w:val="24"/>
        </w:rPr>
        <w:t>Libraries Deliver: Ambition for Public Libraries in England</w:t>
      </w:r>
      <w:r>
        <w:t xml:space="preserve"> </w:t>
      </w:r>
      <w:r>
        <w:fldChar w:fldCharType="begin" w:fldLock="1"/>
      </w:r>
      <w:r>
        <w:instrText>ADDIN CSL_CITATION { "citationItems" : [ { "id" : "ITEM-1", "itemData" : { "abstract" : "1.0 Foreword Libraries change lives for the better. They not only provide access to books and other literature but also help people to help themselves and improve their opportunities, bring people together, and provide practical support and guidance. As a locally accountable service, they are well-placed to respond to local needs and issues. Libraries can have a critical role in helping people to realise their potential, and especially those from disadvantaged backgrounds. DCMS and the Taskforce are setting up a \u00a34 million 'Libraries: Opportunities for Everyone' innovation fund to pilot library service projects that provide people with opportunities that they might not have otherwise. We will see from these pilots which approaches are most successful, then encourage wider adoption and investment in them. These are challenging times for councils and the library services they run. The way people use libraries and their expectations of public services are changing. Financial and demographic challenges are increasing. Standing still is not an option. Strong local leadership of libraries, focused on meeting community needs, is vital. We will support this through nationally co-ordinated initiatives where these add value, for example by exploring whether a shared national digital platform would improve library users' online experience, and by co-ordinating work to make the case for libraries and publicise what they do to have more impact through working together and sharing resources. This report challenges both central and local government to think and act differently to transform library services. Libraries should be integral to all public service strategies. They must demonstrate their value to service commissioners -promoting themselves as an asset not a cost. In turn, we are urging commissioners to consider a 'Libraries First' approach when planning services for their communities. Protecting frontline library services requires radical thinking. Many councils are already working in new and different ways. DCMS will accelerate this -providing advice and support to councils that want to find more effective ways to run their library service -to complement existing sector-led transformation and improvement initiatives led by the LGA. However where DCMS receives complaints and where local authorities do not appear to be meeting their statutory duties, DCMS will investigate and, if necessary, take action under the 1964 Act. We want libraries to be more resilient\u2026", "author" : [ { "dropping-particle" : "", "family" : "Wilson", "given" : "Rob", "non-dropping-particle" : "", "parse-names" : false, "suffix" : "" } ], "id" : "ITEM-1", "issued" : { "date-parts" : [ [ "2016" ] ] }, "title" : "Libraries Deliver: Ambition for Public Libraries in England", "type" : "article-journal" }, "uris" : [ "http://www.mendeley.com/documents/?uuid=58621356-26b6-33f6-92af-e2042b925826" ] } ], "mendeley" : { "formattedCitation" : "(Wilson, 2016)", "plainTextFormattedCitation" : "(Wilson, 2016)", "previouslyFormattedCitation" : "(Wilson, 2016)" }, "properties" : { "noteIndex" : 7 }, "schema" : "https://github.com/citation-style-language/schema/raw/master/csl-citation.json" }</w:instrText>
      </w:r>
      <w:r>
        <w:fldChar w:fldCharType="separate"/>
      </w:r>
      <w:r w:rsidRPr="00A11E8F">
        <w:rPr>
          <w:noProof/>
        </w:rPr>
        <w:t>(Wilson, 2016)</w:t>
      </w:r>
      <w:r>
        <w:fldChar w:fldCharType="end"/>
      </w:r>
      <w:r w:rsidR="00EA049B">
        <w:t xml:space="preserve">, abogando porque sean parte transversal de todas </w:t>
      </w:r>
      <w:r w:rsidR="00323781">
        <w:lastRenderedPageBreak/>
        <w:t xml:space="preserve">las estrategias de los </w:t>
      </w:r>
      <w:r w:rsidR="00323781" w:rsidRPr="00D14A3D">
        <w:t>servicios</w:t>
      </w:r>
      <w:r w:rsidR="00EA049B">
        <w:t xml:space="preserve"> públicos</w:t>
      </w:r>
      <w:r>
        <w:t>. Creo que debería ser una idea a imitar, porque lo que vemos aquí son programas muy superficiales</w:t>
      </w:r>
      <w:r w:rsidR="00EA049B">
        <w:t>, anecdóticos</w:t>
      </w:r>
      <w:r>
        <w:t xml:space="preserve"> y poco dotados</w:t>
      </w:r>
      <w:r w:rsidR="008C5E4B">
        <w:t xml:space="preserve">, que a veces reúnen actividades ya en marcha, como el </w:t>
      </w:r>
      <w:r>
        <w:t xml:space="preserve">plan </w:t>
      </w:r>
      <w:r w:rsidR="00F479B0">
        <w:t xml:space="preserve">estatal </w:t>
      </w:r>
      <w:r>
        <w:t xml:space="preserve">de fomento de la lectura </w:t>
      </w:r>
      <w:r w:rsidRPr="00350B08">
        <w:rPr>
          <w:i/>
        </w:rPr>
        <w:t>Leer te da vidas extra</w:t>
      </w:r>
      <w:r w:rsidR="00C0033D">
        <w:rPr>
          <w:rStyle w:val="Refdenotaalpie"/>
          <w:i/>
        </w:rPr>
        <w:footnoteReference w:id="5"/>
      </w:r>
      <w:r w:rsidR="00C0033D">
        <w:t xml:space="preserve">, </w:t>
      </w:r>
      <w:r w:rsidR="008C5E4B">
        <w:t xml:space="preserve">o a modo de ejemplo </w:t>
      </w:r>
      <w:r w:rsidR="00F479B0">
        <w:t xml:space="preserve">poco acertado </w:t>
      </w:r>
      <w:r w:rsidR="00FE7794">
        <w:t xml:space="preserve">de carácter autonómico </w:t>
      </w:r>
      <w:r w:rsidR="00F479B0">
        <w:t xml:space="preserve">el recién publicitado Plan en </w:t>
      </w:r>
      <w:r w:rsidR="008C5E4B">
        <w:t>Murcia: “Me leo encima”</w:t>
      </w:r>
      <w:r w:rsidR="002F3DF5">
        <w:rPr>
          <w:rStyle w:val="Refdenotaalpie"/>
        </w:rPr>
        <w:footnoteReference w:id="6"/>
      </w:r>
      <w:r w:rsidR="008C5E4B">
        <w:t>.</w:t>
      </w:r>
      <w:r w:rsidR="00651AC7">
        <w:t xml:space="preserve"> </w:t>
      </w:r>
    </w:p>
    <w:p w:rsidR="00350B08" w:rsidRDefault="00651AC7" w:rsidP="00350B08">
      <w:pPr>
        <w:tabs>
          <w:tab w:val="left" w:pos="7360"/>
        </w:tabs>
        <w:jc w:val="both"/>
      </w:pPr>
      <w:r>
        <w:t xml:space="preserve">Muchas bibliotecas están estancadas, y sin dinero nos podemos ver arruinados como </w:t>
      </w:r>
      <w:r w:rsidR="00EC2148">
        <w:t xml:space="preserve">la </w:t>
      </w:r>
      <w:r w:rsidR="00D14A3D">
        <w:t>apreciada</w:t>
      </w:r>
      <w:r w:rsidR="00EC2148">
        <w:t xml:space="preserve"> </w:t>
      </w:r>
      <w:r>
        <w:t>Gloria</w:t>
      </w:r>
      <w:r w:rsidR="00EC2148">
        <w:t xml:space="preserve"> Fuertes</w:t>
      </w:r>
      <w:r>
        <w:t>.</w:t>
      </w:r>
      <w:r w:rsidR="004E2B8E">
        <w:t xml:space="preserve"> Necesitamos que los gobiernos </w:t>
      </w:r>
      <w:r w:rsidR="00D14A3D">
        <w:t xml:space="preserve">central y </w:t>
      </w:r>
      <w:r w:rsidR="004E2B8E">
        <w:t>autónomos hagan planes serios de refinanciación de las bibliotecas</w:t>
      </w:r>
      <w:r w:rsidR="00D14A3D">
        <w:t>,</w:t>
      </w:r>
      <w:r w:rsidR="004E2B8E">
        <w:t xml:space="preserve"> para impulsar realmente condiciones de posibilidad para la biblioteca empoderada y empoderadora. Y más en las bibliotecas de municipios pequeños y medianos en donde hay que reestructurar, diversificar y ampliar</w:t>
      </w:r>
      <w:r w:rsidR="00D14A3D">
        <w:t xml:space="preserve"> espacios, renovar tecnologías…</w:t>
      </w:r>
    </w:p>
    <w:p w:rsidR="00D14A3D" w:rsidRPr="00C0033D" w:rsidRDefault="00D14A3D" w:rsidP="00350B08">
      <w:pPr>
        <w:tabs>
          <w:tab w:val="left" w:pos="7360"/>
        </w:tabs>
        <w:jc w:val="both"/>
      </w:pPr>
    </w:p>
    <w:p w:rsidR="005638A0" w:rsidRDefault="005638A0" w:rsidP="00723D86">
      <w:pPr>
        <w:pStyle w:val="Ttulo1"/>
        <w:numPr>
          <w:ilvl w:val="0"/>
          <w:numId w:val="1"/>
        </w:numPr>
      </w:pPr>
      <w:r>
        <w:t>Mientras tanto: conocer las metas, disfrutar el proceso, innovar</w:t>
      </w:r>
    </w:p>
    <w:p w:rsidR="00054A94" w:rsidRPr="00651AC7" w:rsidRDefault="00054A94" w:rsidP="00054A94">
      <w:pPr>
        <w:spacing w:after="0"/>
        <w:rPr>
          <w:rFonts w:ascii="Palatino Linotype" w:hAnsi="Palatino Linotype"/>
          <w:i/>
        </w:rPr>
      </w:pPr>
      <w:r w:rsidRPr="00651AC7">
        <w:rPr>
          <w:rFonts w:ascii="Palatino Linotype" w:hAnsi="Palatino Linotype"/>
          <w:i/>
        </w:rPr>
        <w:t>La gente corre tanto</w:t>
      </w:r>
    </w:p>
    <w:p w:rsidR="00054A94" w:rsidRPr="00651AC7" w:rsidRDefault="00054A94" w:rsidP="00054A94">
      <w:pPr>
        <w:spacing w:after="0"/>
        <w:rPr>
          <w:rFonts w:ascii="Palatino Linotype" w:hAnsi="Palatino Linotype"/>
          <w:i/>
        </w:rPr>
      </w:pPr>
      <w:r w:rsidRPr="00651AC7">
        <w:rPr>
          <w:rFonts w:ascii="Palatino Linotype" w:hAnsi="Palatino Linotype"/>
          <w:i/>
        </w:rPr>
        <w:t>porque no sabe dónde va,</w:t>
      </w:r>
    </w:p>
    <w:p w:rsidR="00054A94" w:rsidRPr="00651AC7" w:rsidRDefault="00054A94" w:rsidP="00054A94">
      <w:pPr>
        <w:spacing w:after="0"/>
        <w:rPr>
          <w:rFonts w:ascii="Palatino Linotype" w:hAnsi="Palatino Linotype"/>
          <w:i/>
        </w:rPr>
      </w:pPr>
      <w:r w:rsidRPr="00651AC7">
        <w:rPr>
          <w:rFonts w:ascii="Palatino Linotype" w:hAnsi="Palatino Linotype"/>
          <w:i/>
        </w:rPr>
        <w:t>el que sabe dónde va,</w:t>
      </w:r>
    </w:p>
    <w:p w:rsidR="00054A94" w:rsidRPr="00651AC7" w:rsidRDefault="00054A94" w:rsidP="00054A94">
      <w:pPr>
        <w:spacing w:after="0"/>
        <w:rPr>
          <w:rFonts w:ascii="Palatino Linotype" w:hAnsi="Palatino Linotype"/>
          <w:i/>
        </w:rPr>
      </w:pPr>
      <w:r w:rsidRPr="00651AC7">
        <w:rPr>
          <w:rFonts w:ascii="Palatino Linotype" w:hAnsi="Palatino Linotype"/>
          <w:i/>
        </w:rPr>
        <w:t>va despacio,</w:t>
      </w:r>
    </w:p>
    <w:p w:rsidR="00054A94" w:rsidRPr="00651AC7" w:rsidRDefault="00054A94" w:rsidP="00054A94">
      <w:pPr>
        <w:spacing w:after="0"/>
        <w:rPr>
          <w:rFonts w:ascii="Palatino Linotype" w:hAnsi="Palatino Linotype"/>
          <w:i/>
        </w:rPr>
      </w:pPr>
      <w:r w:rsidRPr="00651AC7">
        <w:rPr>
          <w:rFonts w:ascii="Palatino Linotype" w:hAnsi="Palatino Linotype"/>
          <w:i/>
        </w:rPr>
        <w:t>para paladear</w:t>
      </w:r>
    </w:p>
    <w:p w:rsidR="001B7480" w:rsidRPr="00651AC7" w:rsidRDefault="00054A94" w:rsidP="00054A94">
      <w:pPr>
        <w:spacing w:after="0"/>
        <w:rPr>
          <w:rFonts w:ascii="Palatino Linotype" w:hAnsi="Palatino Linotype"/>
        </w:rPr>
      </w:pPr>
      <w:r w:rsidRPr="00651AC7">
        <w:rPr>
          <w:rFonts w:ascii="Palatino Linotype" w:hAnsi="Palatino Linotype"/>
          <w:i/>
        </w:rPr>
        <w:t>el “ir llegando”</w:t>
      </w:r>
      <w:r w:rsidR="00723D86" w:rsidRPr="00651AC7">
        <w:rPr>
          <w:rFonts w:ascii="Palatino Linotype" w:hAnsi="Palatino Linotype"/>
          <w:i/>
        </w:rPr>
        <w:t xml:space="preserve"> </w:t>
      </w:r>
    </w:p>
    <w:p w:rsidR="00054A94" w:rsidRDefault="00054A94" w:rsidP="00054A94">
      <w:pPr>
        <w:jc w:val="both"/>
      </w:pPr>
      <w:r>
        <w:t>Gloria Fuertes</w:t>
      </w:r>
    </w:p>
    <w:p w:rsidR="00B82241" w:rsidRDefault="00FE7794" w:rsidP="00B82241">
      <w:pPr>
        <w:jc w:val="both"/>
      </w:pPr>
      <w:r>
        <w:t>Identificar los problemas da paso a la posibilidad de</w:t>
      </w:r>
      <w:r w:rsidR="00DD1254">
        <w:t xml:space="preserve"> resolverlos, y muchas veces hemos de encontrar soluciones creativas, </w:t>
      </w:r>
      <w:r>
        <w:t xml:space="preserve">innovar, </w:t>
      </w:r>
      <w:r w:rsidR="00DD1254">
        <w:t xml:space="preserve">en </w:t>
      </w:r>
      <w:r w:rsidRPr="00D14A3D">
        <w:t>un proceso que requiere saber a dónde vamos, conocer las metas, y valorar el proceso, el ir llegando, como un fortalecimiento de nuestras capacidades. Innovar con sentido</w:t>
      </w:r>
      <w:r w:rsidR="004E2B8E" w:rsidRPr="00D14A3D">
        <w:t>, aun encontrándonos en ese “mientras tanto” llega</w:t>
      </w:r>
      <w:r w:rsidR="005638A0" w:rsidRPr="00D14A3D">
        <w:t>n</w:t>
      </w:r>
      <w:r w:rsidR="004E2B8E" w:rsidRPr="00D14A3D">
        <w:t xml:space="preserve"> los medios adecuados. Mientras tanto hay muchas cosas por hacer para apoyar a la ciudadanía, que tiene los problemas “ahora”.</w:t>
      </w:r>
      <w:r w:rsidR="004E2B8E">
        <w:rPr>
          <w:b/>
        </w:rPr>
        <w:t xml:space="preserve"> </w:t>
      </w:r>
      <w:r w:rsidR="004E2B8E" w:rsidRPr="004E2B8E">
        <w:t xml:space="preserve">Innovar </w:t>
      </w:r>
      <w:r>
        <w:t xml:space="preserve">dejando </w:t>
      </w:r>
      <w:r w:rsidR="00DD1254">
        <w:t xml:space="preserve">también </w:t>
      </w:r>
      <w:r>
        <w:t>de lado resistencias desacertadas</w:t>
      </w:r>
      <w:r w:rsidR="00B82241">
        <w:t xml:space="preserve">, afortunadamente anecdóticas, </w:t>
      </w:r>
      <w:r>
        <w:t>que advierten de una posible perversión</w:t>
      </w:r>
      <w:r>
        <w:rPr>
          <w:rStyle w:val="Refdenotaalpie"/>
        </w:rPr>
        <w:footnoteReference w:id="7"/>
      </w:r>
      <w:r>
        <w:t xml:space="preserve"> </w:t>
      </w:r>
      <w:r w:rsidR="00B82241">
        <w:t>de la “esencia” de la biblioteca</w:t>
      </w:r>
      <w:r w:rsidR="008B43F3">
        <w:t xml:space="preserve"> por dar cursos de cocina</w:t>
      </w:r>
      <w:r w:rsidR="008B43F3" w:rsidRPr="008B43F3">
        <w:t xml:space="preserve">, agricultura urbana </w:t>
      </w:r>
      <w:r w:rsidR="008B43F3">
        <w:t>y orientación matrimonial</w:t>
      </w:r>
      <w:r w:rsidR="00B82241">
        <w:t xml:space="preserve">. </w:t>
      </w:r>
    </w:p>
    <w:p w:rsidR="00100738" w:rsidRDefault="00054A94" w:rsidP="002A0241">
      <w:pPr>
        <w:jc w:val="both"/>
      </w:pPr>
      <w:r>
        <w:t xml:space="preserve">Si vemos </w:t>
      </w:r>
      <w:r w:rsidR="00F479B0">
        <w:t xml:space="preserve">en perspectiva </w:t>
      </w:r>
      <w:r w:rsidR="0083423D">
        <w:t xml:space="preserve">la </w:t>
      </w:r>
      <w:r w:rsidR="00DD1254">
        <w:t xml:space="preserve">evolución de la </w:t>
      </w:r>
      <w:r w:rsidR="0083423D">
        <w:t>biblioteca</w:t>
      </w:r>
      <w:r w:rsidR="00DD1254">
        <w:t>,</w:t>
      </w:r>
      <w:r>
        <w:t xml:space="preserve"> indudableme</w:t>
      </w:r>
      <w:r w:rsidR="008B43F3">
        <w:t xml:space="preserve">nte </w:t>
      </w:r>
      <w:r w:rsidR="00DD1254">
        <w:t xml:space="preserve">creo que </w:t>
      </w:r>
      <w:r w:rsidR="008B43F3">
        <w:t xml:space="preserve">hemos mejorado, </w:t>
      </w:r>
      <w:r w:rsidR="00DD1254">
        <w:t>p</w:t>
      </w:r>
      <w:r>
        <w:t>ero n</w:t>
      </w:r>
      <w:r w:rsidR="002F3DF5">
        <w:t xml:space="preserve">os queda mucho más por hacer, tanto en el plano </w:t>
      </w:r>
      <w:r w:rsidR="00DD1254">
        <w:t>conceptual como práctic</w:t>
      </w:r>
      <w:r w:rsidR="002F3DF5">
        <w:t xml:space="preserve">o. </w:t>
      </w:r>
      <w:r w:rsidR="004E2B8E">
        <w:t xml:space="preserve">Si lo miramos sin autocomplacencia, algunos cambios nos han costado. Por ejemplo, hace unos treinta años, cuando comentaba con colegas bibliotecarios que teníamos que enseñar a usar la información, no era extraño escuchar “a mí no me pagan para enseñar”. </w:t>
      </w:r>
      <w:r w:rsidR="004E2B8E" w:rsidRPr="00D14A3D">
        <w:t>No estaba interiorizada una función mediadora en el aprendizaje a lo largo de la vida, o que hay una relación inseparable entre dar acceso a la información y contribuir a que se pueda aprovechar mediante la provisión de nuevas alfabetizaciones. Tampoco se veía muy bien ejercer una labor consultora, asesora,</w:t>
      </w:r>
      <w:r w:rsidR="004E2B8E">
        <w:t xml:space="preserve"> de recomendación, porque se tenía un concepto de objetividad o neutralidad que llevaba a la </w:t>
      </w:r>
      <w:r w:rsidR="004E2B8E">
        <w:lastRenderedPageBreak/>
        <w:t xml:space="preserve">inhibición, a no decir: “creo que te deberías leer esto”. Hoy sabemos que debemos orientar al usuario en la infinidad de los datos, y que facilitar competencia informacional y actividades formativas garantiza el derecho a la información y nos hace más útiles </w:t>
      </w:r>
      <w:r w:rsidR="004E2B8E">
        <w:fldChar w:fldCharType="begin" w:fldLock="1"/>
      </w:r>
      <w:r w:rsidR="004E2B8E">
        <w:instrText>ADDIN CSL_CITATION { "citationItems" : [ { "id" : "ITEM-1", "itemData" : { "ISBN" : "1886-6344", "author" : [ { "dropping-particle" : "", "family" : "G\u00f3mez-Hern\u00e1ndez", "given" : "Jos\u00e9-Antonio", "non-dropping-particle" : "", "parse-names" : false, "suffix" : "" } ], "container-title" : "Anuario ThinkEPI", "id" : "ITEM-1", "issued" : { "date-parts" : [ [ "2009" ] ] }, "note" : "El objetivo de este texto es revisar algunos de los avances recientes en la preparaci\u00f3n de los profesionales para dise\u00f1ar y poner en pr\u00e1ctica servicios de alfabetizaci\u00f3n informacional en las instituciones documentales, y particularmente en las bibliotecas. Entre ellos citaremos las iniciativas de las asociaciones profesionales por realizar actividades de sensibilizaci\u00f3n o impulso; las actividades formativas como cursos, seminarios y talleres promovidos por asociaciones, organismos coordinadores de sistemas bibliotecarios, para la adquisici\u00f3n de competencias para desarrollar este servicio; y la presencia en los nuevos programas de Grado universitario de Informaci\u00f3n y Documentaci\u00f3n que se han aprobado en 2008 o se van a implantar los dos pr\u00f3ximos a\u00f1os.", "page" : "106-113", "title" : "Aprender a ense\u00f1ar competencias informacionales a los usuarios: avances en la formaci\u00f3n profesional en Espa\u00f1a", "type" : "article-journal" }, "uris" : [ "http://www.mendeley.com/documents/?uuid=c7fe7811-7835-435d-b95b-c2f7d9c3001c" ] } ], "mendeley" : { "formattedCitation" : "(G\u00f3mez-Hern\u00e1ndez, 2009)", "plainTextFormattedCitation" : "(G\u00f3mez-Hern\u00e1ndez, 2009)", "previouslyFormattedCitation" : "(G\u00f3mez-Hern\u00e1ndez, 2009)" }, "properties" : { "noteIndex" : 7 }, "schema" : "https://github.com/citation-style-language/schema/raw/master/csl-citation.json" }</w:instrText>
      </w:r>
      <w:r w:rsidR="004E2B8E">
        <w:fldChar w:fldCharType="separate"/>
      </w:r>
      <w:r w:rsidR="004E2B8E" w:rsidRPr="00741682">
        <w:rPr>
          <w:noProof/>
        </w:rPr>
        <w:t>(Gómez-Hernández, 2009)</w:t>
      </w:r>
      <w:r w:rsidR="004E2B8E">
        <w:fldChar w:fldCharType="end"/>
      </w:r>
      <w:r w:rsidR="004E2B8E">
        <w:t xml:space="preserve">  </w:t>
      </w:r>
    </w:p>
    <w:p w:rsidR="002F3DF5" w:rsidRPr="002F3DF5" w:rsidRDefault="002F3DF5" w:rsidP="002A0241">
      <w:pPr>
        <w:jc w:val="both"/>
      </w:pPr>
      <w:r>
        <w:t xml:space="preserve">Sin perder </w:t>
      </w:r>
      <w:r w:rsidR="00C01D44">
        <w:t xml:space="preserve">de vista unos valores permanentes asociados a </w:t>
      </w:r>
      <w:r>
        <w:t xml:space="preserve">lo que hemos venido considerando lo que es una biblioteca, hoy el enfoque de lo que debemos hacer debe ser distinto, y respaldo la idea de que tenemos que innovar. Es una obligación en el mundo actual, por más que la biblioteca, como la universidad, sea una institución que combine continuidad y cambio. </w:t>
      </w:r>
    </w:p>
    <w:p w:rsidR="0002263C" w:rsidRDefault="00891206" w:rsidP="00741682">
      <w:pPr>
        <w:jc w:val="both"/>
      </w:pPr>
      <w:r>
        <w:t xml:space="preserve">Creo </w:t>
      </w:r>
      <w:r w:rsidRPr="00D14A3D">
        <w:t>que hoy el empoderamiento de la biblioteca pasaría por la ambición en las metas</w:t>
      </w:r>
      <w:r w:rsidR="00C01D44" w:rsidRPr="00D14A3D">
        <w:t xml:space="preserve"> y la forma de identificarlas</w:t>
      </w:r>
      <w:r w:rsidRPr="00D14A3D">
        <w:t xml:space="preserve">: </w:t>
      </w:r>
      <w:r w:rsidR="00B82241" w:rsidRPr="00D14A3D">
        <w:t>Hoy tenemos que marcar las prioridades en función de las necesidades ciudadanas</w:t>
      </w:r>
      <w:r w:rsidR="00D15406" w:rsidRPr="00D14A3D">
        <w:t>, e</w:t>
      </w:r>
      <w:r w:rsidR="00D15406">
        <w:t>xpresadas en procesos participativos</w:t>
      </w:r>
      <w:r>
        <w:t xml:space="preserve">, </w:t>
      </w:r>
      <w:r w:rsidR="00C01D44">
        <w:t xml:space="preserve">definidas </w:t>
      </w:r>
      <w:r>
        <w:t>mediante el análisis soci</w:t>
      </w:r>
      <w:r w:rsidR="008D1BC6">
        <w:t>oeconómico</w:t>
      </w:r>
      <w:r>
        <w:t>,</w:t>
      </w:r>
      <w:r w:rsidR="00D15406">
        <w:t xml:space="preserve"> o declaradas como objetivos globales de consenso</w:t>
      </w:r>
      <w:r w:rsidR="005A462D">
        <w:t xml:space="preserve"> universal</w:t>
      </w:r>
      <w:r w:rsidR="00C57480">
        <w:t xml:space="preserve">, como fueron los </w:t>
      </w:r>
      <w:r w:rsidR="00C57480" w:rsidRPr="00654654">
        <w:rPr>
          <w:i/>
        </w:rPr>
        <w:t>Objetivos del Milenio</w:t>
      </w:r>
      <w:r w:rsidR="00C57480">
        <w:t xml:space="preserve"> o a</w:t>
      </w:r>
      <w:r w:rsidR="005A462D">
        <w:t xml:space="preserve">hora la </w:t>
      </w:r>
      <w:r w:rsidR="005A462D" w:rsidRPr="00D14A3D">
        <w:rPr>
          <w:i/>
        </w:rPr>
        <w:t>Agenda 2030</w:t>
      </w:r>
      <w:r w:rsidR="00654654" w:rsidRPr="00D14A3D">
        <w:rPr>
          <w:i/>
        </w:rPr>
        <w:t xml:space="preserve"> </w:t>
      </w:r>
      <w:r w:rsidR="005A462D" w:rsidRPr="00D14A3D">
        <w:rPr>
          <w:i/>
        </w:rPr>
        <w:t>de Naciones Unidas</w:t>
      </w:r>
      <w:r w:rsidR="009B5209">
        <w:t xml:space="preserve"> con sus </w:t>
      </w:r>
      <w:r w:rsidR="009B5209" w:rsidRPr="00D14A3D">
        <w:rPr>
          <w:i/>
        </w:rPr>
        <w:t>Objetivos de Desarrollo S</w:t>
      </w:r>
      <w:r w:rsidR="00654654" w:rsidRPr="00D14A3D">
        <w:rPr>
          <w:i/>
        </w:rPr>
        <w:t>ostenible</w:t>
      </w:r>
      <w:r w:rsidRPr="00D14A3D">
        <w:rPr>
          <w:i/>
        </w:rPr>
        <w:t>.</w:t>
      </w:r>
      <w:r>
        <w:t xml:space="preserve"> </w:t>
      </w:r>
      <w:r w:rsidR="00741682">
        <w:t xml:space="preserve">Al modo en el que se habla de ambición en el programa británico de relanzamiento de las bibliotecas públicas, veamos los objetivos de la Humanidad, tal como los describe la Agenda 2030 de las Naciones Unidas, y traigámoslos a nuestro contexto local. Pues en nuestras ciudades y pueblos también tenemos pervivencia de la desigualdad social y de género, pobreza e insuficiencia de la renta, </w:t>
      </w:r>
      <w:r w:rsidR="00100738">
        <w:t xml:space="preserve">modelo productivo </w:t>
      </w:r>
      <w:r w:rsidR="00896FF7">
        <w:t xml:space="preserve">poco sostenible, </w:t>
      </w:r>
      <w:r w:rsidR="00741682">
        <w:t xml:space="preserve">necesidad de promover la cultura de la paz, </w:t>
      </w:r>
      <w:r w:rsidR="0002263C">
        <w:t xml:space="preserve">escasa </w:t>
      </w:r>
      <w:r w:rsidR="00741682">
        <w:t>calidad democrática de las instituciones</w:t>
      </w:r>
      <w:r w:rsidR="0002263C">
        <w:t xml:space="preserve"> y por supuesto problemas </w:t>
      </w:r>
      <w:r w:rsidR="00896FF7">
        <w:t xml:space="preserve">ambientales </w:t>
      </w:r>
      <w:r w:rsidR="0002263C">
        <w:t>derivados de</w:t>
      </w:r>
      <w:r w:rsidR="00896FF7">
        <w:t>l</w:t>
      </w:r>
      <w:r w:rsidR="0002263C">
        <w:t xml:space="preserve"> calentamiento global</w:t>
      </w:r>
      <w:r w:rsidR="00896FF7">
        <w:t xml:space="preserve">, la contaminación de aguas y aire, </w:t>
      </w:r>
      <w:r w:rsidR="0002263C">
        <w:t>que afectan a la</w:t>
      </w:r>
      <w:r w:rsidR="00896FF7">
        <w:t xml:space="preserve"> sostenibilidad no solo del medio sino</w:t>
      </w:r>
      <w:r w:rsidR="000A406B">
        <w:t xml:space="preserve"> a</w:t>
      </w:r>
      <w:r w:rsidR="00896FF7">
        <w:t xml:space="preserve"> la sostenibilidad </w:t>
      </w:r>
      <w:r w:rsidR="00654654">
        <w:t xml:space="preserve">económica y </w:t>
      </w:r>
      <w:r w:rsidR="00896FF7">
        <w:t>social</w:t>
      </w:r>
      <w:r w:rsidR="0002263C">
        <w:t>.</w:t>
      </w:r>
    </w:p>
    <w:p w:rsidR="00F5026C" w:rsidRDefault="00896FF7" w:rsidP="00741682">
      <w:pPr>
        <w:jc w:val="both"/>
      </w:pPr>
      <w:r>
        <w:t>Si pensamos en prioridades sociales como servicio público, deberíamos empezar pensando en cómo mejorar algunos de estos datos desde nuestros servicios y programas, o implicarnos con otros servicios para r</w:t>
      </w:r>
      <w:r w:rsidRPr="00896FF7">
        <w:t>educir la vulnerabilidad, apoyar la empleabilidad y la educación permanente</w:t>
      </w:r>
      <w:r>
        <w:t>:</w:t>
      </w:r>
    </w:p>
    <w:tbl>
      <w:tblPr>
        <w:tblStyle w:val="Tablaconcuadrcula"/>
        <w:tblW w:w="8642" w:type="dxa"/>
        <w:tblInd w:w="0" w:type="dxa"/>
        <w:tblLook w:val="04A0" w:firstRow="1" w:lastRow="0" w:firstColumn="1" w:lastColumn="0" w:noHBand="0" w:noVBand="1"/>
      </w:tblPr>
      <w:tblGrid>
        <w:gridCol w:w="5098"/>
        <w:gridCol w:w="1560"/>
        <w:gridCol w:w="1984"/>
      </w:tblGrid>
      <w:tr w:rsidR="0002263C" w:rsidTr="00080627">
        <w:tc>
          <w:tcPr>
            <w:tcW w:w="5098" w:type="dxa"/>
            <w:tcBorders>
              <w:top w:val="single" w:sz="4" w:space="0" w:color="auto"/>
              <w:left w:val="single" w:sz="4" w:space="0" w:color="auto"/>
              <w:bottom w:val="single" w:sz="4" w:space="0" w:color="auto"/>
              <w:right w:val="single" w:sz="4" w:space="0" w:color="auto"/>
            </w:tcBorders>
          </w:tcPr>
          <w:p w:rsidR="0002263C" w:rsidRDefault="0002263C" w:rsidP="00080627"/>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España</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Andalucía</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pPr>
              <w:tabs>
                <w:tab w:val="left" w:pos="3010"/>
              </w:tabs>
            </w:pPr>
            <w:r>
              <w:t>AROPE (riesgo de pobreza y exclusión) 2016 (EAPN-ES)</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27.9 %</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41.7 %</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r>
              <w:t>Empleo cualificado ADECCO 2017</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32.6 %</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28.4%</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pPr>
              <w:tabs>
                <w:tab w:val="left" w:pos="3350"/>
              </w:tabs>
            </w:pPr>
            <w:r>
              <w:t>Abandono escolar temprano MECD 2017</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19 %</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23.2 %</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r>
              <w:t>Tasa de desempleo EPA 2017</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17.2%</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25.2 %</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r>
              <w:t>Salario mensual bruto medio 2017</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1637 euros</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1474 euros</w:t>
            </w:r>
          </w:p>
        </w:tc>
      </w:tr>
      <w:tr w:rsidR="0002263C" w:rsidTr="00080627">
        <w:tc>
          <w:tcPr>
            <w:tcW w:w="5098" w:type="dxa"/>
            <w:tcBorders>
              <w:top w:val="single" w:sz="4" w:space="0" w:color="auto"/>
              <w:left w:val="single" w:sz="4" w:space="0" w:color="auto"/>
              <w:bottom w:val="single" w:sz="4" w:space="0" w:color="auto"/>
              <w:right w:val="single" w:sz="4" w:space="0" w:color="auto"/>
            </w:tcBorders>
            <w:hideMark/>
          </w:tcPr>
          <w:p w:rsidR="0002263C" w:rsidRDefault="0002263C" w:rsidP="00080627">
            <w:r>
              <w:t>Poder adquisitivo del salario 2015-2017 ADECCO</w:t>
            </w:r>
          </w:p>
        </w:tc>
        <w:tc>
          <w:tcPr>
            <w:tcW w:w="1560" w:type="dxa"/>
            <w:tcBorders>
              <w:top w:val="single" w:sz="4" w:space="0" w:color="auto"/>
              <w:left w:val="single" w:sz="4" w:space="0" w:color="auto"/>
              <w:bottom w:val="single" w:sz="4" w:space="0" w:color="auto"/>
              <w:right w:val="single" w:sz="4" w:space="0" w:color="auto"/>
            </w:tcBorders>
            <w:hideMark/>
          </w:tcPr>
          <w:p w:rsidR="0002263C" w:rsidRDefault="0002263C" w:rsidP="00080627">
            <w:r>
              <w:t>-142</w:t>
            </w:r>
          </w:p>
        </w:tc>
        <w:tc>
          <w:tcPr>
            <w:tcW w:w="1984" w:type="dxa"/>
            <w:tcBorders>
              <w:top w:val="single" w:sz="4" w:space="0" w:color="auto"/>
              <w:left w:val="single" w:sz="4" w:space="0" w:color="auto"/>
              <w:bottom w:val="single" w:sz="4" w:space="0" w:color="auto"/>
              <w:right w:val="single" w:sz="4" w:space="0" w:color="auto"/>
            </w:tcBorders>
            <w:hideMark/>
          </w:tcPr>
          <w:p w:rsidR="0002263C" w:rsidRDefault="0002263C" w:rsidP="00080627">
            <w:r>
              <w:t>-309</w:t>
            </w:r>
          </w:p>
        </w:tc>
      </w:tr>
      <w:tr w:rsidR="0002263C" w:rsidTr="00080627">
        <w:tc>
          <w:tcPr>
            <w:tcW w:w="5098" w:type="dxa"/>
            <w:tcBorders>
              <w:top w:val="single" w:sz="4" w:space="0" w:color="auto"/>
              <w:left w:val="single" w:sz="4" w:space="0" w:color="auto"/>
              <w:bottom w:val="single" w:sz="4" w:space="0" w:color="auto"/>
              <w:right w:val="single" w:sz="4" w:space="0" w:color="auto"/>
            </w:tcBorders>
          </w:tcPr>
          <w:p w:rsidR="0002263C" w:rsidRDefault="0002263C" w:rsidP="00080627">
            <w:r>
              <w:t>Financiación autonómica por habitante 2015</w:t>
            </w:r>
          </w:p>
        </w:tc>
        <w:tc>
          <w:tcPr>
            <w:tcW w:w="1560" w:type="dxa"/>
            <w:tcBorders>
              <w:top w:val="single" w:sz="4" w:space="0" w:color="auto"/>
              <w:left w:val="single" w:sz="4" w:space="0" w:color="auto"/>
              <w:bottom w:val="single" w:sz="4" w:space="0" w:color="auto"/>
              <w:right w:val="single" w:sz="4" w:space="0" w:color="auto"/>
            </w:tcBorders>
          </w:tcPr>
          <w:p w:rsidR="0002263C" w:rsidRDefault="0002263C" w:rsidP="00080627">
            <w:r>
              <w:t>2.354</w:t>
            </w:r>
          </w:p>
        </w:tc>
        <w:tc>
          <w:tcPr>
            <w:tcW w:w="1984" w:type="dxa"/>
            <w:tcBorders>
              <w:top w:val="single" w:sz="4" w:space="0" w:color="auto"/>
              <w:left w:val="single" w:sz="4" w:space="0" w:color="auto"/>
              <w:bottom w:val="single" w:sz="4" w:space="0" w:color="auto"/>
              <w:right w:val="single" w:sz="4" w:space="0" w:color="auto"/>
            </w:tcBorders>
          </w:tcPr>
          <w:p w:rsidR="0002263C" w:rsidRDefault="0002263C" w:rsidP="00080627">
            <w:r>
              <w:t>2.276</w:t>
            </w:r>
          </w:p>
        </w:tc>
      </w:tr>
    </w:tbl>
    <w:p w:rsidR="0002263C" w:rsidRDefault="0002263C" w:rsidP="00741682">
      <w:pPr>
        <w:jc w:val="both"/>
      </w:pPr>
    </w:p>
    <w:p w:rsidR="001877C9" w:rsidRDefault="001877C9" w:rsidP="001877C9">
      <w:pPr>
        <w:jc w:val="both"/>
      </w:pPr>
      <w:r>
        <w:t>Tenemos en nuestros pueblos personas en situación de vulnerabilidad social con fracaso escolar temprano o bajo nivel educativo en edades adultas, situación de desempleo o empleos con salarios insuficientes</w:t>
      </w:r>
      <w:r w:rsidRPr="00D14A3D">
        <w:rPr>
          <w:b/>
        </w:rPr>
        <w:t xml:space="preserve">. </w:t>
      </w:r>
      <w:r w:rsidRPr="00D14A3D">
        <w:t xml:space="preserve">La biblioteca social creo que </w:t>
      </w:r>
      <w:r w:rsidR="009B5209" w:rsidRPr="00D14A3D">
        <w:t xml:space="preserve">es la que desarrolla y </w:t>
      </w:r>
      <w:r w:rsidR="005A611E" w:rsidRPr="00D14A3D">
        <w:t>participa</w:t>
      </w:r>
      <w:r w:rsidR="009B5209" w:rsidRPr="00D14A3D">
        <w:t xml:space="preserve"> </w:t>
      </w:r>
      <w:r w:rsidRPr="00D14A3D">
        <w:t xml:space="preserve">en los programas sociales </w:t>
      </w:r>
      <w:r w:rsidR="009B5209" w:rsidRPr="00D14A3D">
        <w:t>con</w:t>
      </w:r>
      <w:r w:rsidRPr="00D14A3D">
        <w:t xml:space="preserve"> estos colectivos, apoyando la formación, la competencia digital, la prestación de servicios de cultura</w:t>
      </w:r>
      <w:r>
        <w:t xml:space="preserve"> y ocio, espacios de</w:t>
      </w:r>
      <w:r w:rsidR="009B5209">
        <w:t xml:space="preserve"> socialización y de</w:t>
      </w:r>
      <w:r>
        <w:t xml:space="preserve"> trabajo con recursos tecnológicos y de producción. Nuestra condición de servicio no estigmatizado </w:t>
      </w:r>
      <w:r>
        <w:fldChar w:fldCharType="begin" w:fldLock="1"/>
      </w:r>
      <w:r>
        <w:instrText>ADDIN CSL_CITATION { "citationItems" : [ { "id" : "ITEM-1", "itemData" : { "ISSN" : "1699-2407", "abstract" : "This research is based on two qualitative techniques applied to further understand the levels of digital risk or empowerment of vulnerable users visiting  Murcia Regional Library . Library users and staff, social workers, and the three most recent library managers were interviewed; participatory observation was applied. We studied the exclusion factors of users, their motivation for using library services, and their information and digital competencies. We conclude that these persons use the library primarily as a center for both leisure and media Internet purposes and also occasionally to study or job search. Nevertheless, and above all, they value the library as a comfortable, normalized, and inclusive space, in which they feel integrated and where, without limits, they can stay for leisure or practical purposes.", "author" : [ { "dropping-particle" : "", "family" : "G\u00f3mez-Hern\u00e1ndez", "given" : "Jos\u00e9-Antonio", "non-dropping-particle" : "", "parse-names" : false, "suffix" : "" }, { "dropping-particle" : "", "family" : "Hern\u00e1ndez-Pedre\u00f1o", "given" : "Manuel", "non-dropping-particle" : "", "parse-names" : false, "suffix" : "" }, { "dropping-particle" : "", "family" : "Romero-S\u00e1nchez", "given" : "Eduardo", "non-dropping-particle" : "", "parse-names" : false, "suffix" : "" } ], "container-title" : "El Profesional de la Informaci\u00f3n", "id" : "ITEM-1", "issue" : "1", "issued" : { "date-parts" : [ [ "2017" ] ] }, "note" : "NULL", "page" : "20-33", "title" : "Empoderamiento social y digital de los usuarios en riesgo de exclusi\u00f3n de la Biblioteca Regional de Murcia, Espa\u00f1a", "type" : "article-journal", "volume" : "26" }, "uris" : [ "http://www.mendeley.com/documents/?uuid=5e4c0bd1-f496-36d0-9617-934f7b86f6b2" ] } ], "mendeley" : { "formattedCitation" : "(G\u00f3mez-Hern\u00e1ndez, Hern\u00e1ndez-Pedre\u00f1o, &amp; Romero-S\u00e1nchez, 2017)", "plainTextFormattedCitation" : "(G\u00f3mez-Hern\u00e1ndez, Hern\u00e1ndez-Pedre\u00f1o, &amp; Romero-S\u00e1nchez, 2017)", "previouslyFormattedCitation" : "(G\u00f3mez-Hern\u00e1ndez, Hern\u00e1ndez-Pedre\u00f1o, &amp; Romero-S\u00e1nchez, 2017)" }, "properties" : { "noteIndex" : 7 }, "schema" : "https://github.com/citation-style-language/schema/raw/master/csl-citation.json" }</w:instrText>
      </w:r>
      <w:r>
        <w:fldChar w:fldCharType="separate"/>
      </w:r>
      <w:r w:rsidRPr="009E6F0C">
        <w:rPr>
          <w:noProof/>
        </w:rPr>
        <w:t>(Gómez-Hernández, Hernández-Pedreño, &amp; Romero-Sánchez, 2017)</w:t>
      </w:r>
      <w:r>
        <w:fldChar w:fldCharType="end"/>
      </w:r>
      <w:r>
        <w:t xml:space="preserve"> facilita realizar en ellos muchas actividades en las que interactúan y se integran personas de diversa condición.</w:t>
      </w:r>
    </w:p>
    <w:p w:rsidR="00741682" w:rsidRDefault="0002263C" w:rsidP="00741682">
      <w:pPr>
        <w:jc w:val="both"/>
      </w:pPr>
      <w:r>
        <w:t xml:space="preserve">Con </w:t>
      </w:r>
      <w:r w:rsidRPr="00D14A3D">
        <w:t>ello no se está planteando una</w:t>
      </w:r>
      <w:r w:rsidR="00D14A3D">
        <w:t xml:space="preserve"> “</w:t>
      </w:r>
      <w:r w:rsidRPr="00D14A3D">
        <w:t>ideologización</w:t>
      </w:r>
      <w:r w:rsidR="00D14A3D">
        <w:t>”</w:t>
      </w:r>
      <w:r w:rsidRPr="00D14A3D">
        <w:t xml:space="preserve"> de la labor bibliotecaria</w:t>
      </w:r>
      <w:r w:rsidR="00654654" w:rsidRPr="00D14A3D">
        <w:t>,</w:t>
      </w:r>
      <w:r w:rsidR="00654654">
        <w:t xml:space="preserve"> que nos ponga a un lado u otro de las </w:t>
      </w:r>
      <w:r w:rsidR="00654654" w:rsidRPr="00D33B53">
        <w:t>políticas</w:t>
      </w:r>
      <w:r w:rsidR="00D14A3D" w:rsidRPr="00D33B53">
        <w:t xml:space="preserve"> concret</w:t>
      </w:r>
      <w:r w:rsidR="008638A8" w:rsidRPr="00D33B53">
        <w:t>a</w:t>
      </w:r>
      <w:r w:rsidR="00D14A3D" w:rsidRPr="00D33B53">
        <w:t>s</w:t>
      </w:r>
      <w:r w:rsidR="00654654">
        <w:t xml:space="preserve"> o los gobiernos</w:t>
      </w:r>
      <w:r>
        <w:t xml:space="preserve">: </w:t>
      </w:r>
      <w:r w:rsidR="00D14A3D">
        <w:t xml:space="preserve">priorizamos </w:t>
      </w:r>
      <w:r>
        <w:t>problemas relativo</w:t>
      </w:r>
      <w:r w:rsidR="00741682">
        <w:t>s a los derechos humanos básicos asumibles universalmente</w:t>
      </w:r>
      <w:r w:rsidR="00D14A3D">
        <w:t xml:space="preserve">, y apoyamos las actuaciones políticas que </w:t>
      </w:r>
      <w:r w:rsidR="00D14A3D">
        <w:lastRenderedPageBreak/>
        <w:t>contribuyen a su reducción o resolución</w:t>
      </w:r>
      <w:r w:rsidR="00741682">
        <w:t xml:space="preserve">. Se trata de hacer un mundo mejor y con más igualdad para que puedan aspirar todos a su derecho a la vida digna. Impulsar el </w:t>
      </w:r>
      <w:r w:rsidR="00741682" w:rsidRPr="004410D4">
        <w:t xml:space="preserve">derecho </w:t>
      </w:r>
      <w:r w:rsidR="00741682">
        <w:t xml:space="preserve">a </w:t>
      </w:r>
      <w:r w:rsidR="00741682" w:rsidRPr="004410D4">
        <w:t>la información</w:t>
      </w:r>
      <w:r w:rsidR="00741682">
        <w:t xml:space="preserve">, promover la alfabetización crítica relativa a estos temas </w:t>
      </w:r>
      <w:r w:rsidR="00741682" w:rsidRPr="004410D4">
        <w:t>y jugar un importante rol en el desarrollo de las habilidades de los usuarios</w:t>
      </w:r>
      <w:r w:rsidR="00654654">
        <w:t xml:space="preserve">. </w:t>
      </w:r>
    </w:p>
    <w:p w:rsidR="00D14A3D" w:rsidRDefault="001877C9" w:rsidP="000A406B">
      <w:pPr>
        <w:jc w:val="both"/>
      </w:pPr>
      <w:r>
        <w:t>Pero, además, si nos vamos de lo local a lo global, la biblioteca tiene en la actualidad una meta muy ambiciosa, propia de su fortaleza: contribuir al avance de los objetivos de desarrollo sostenible de Naciones Unidas para 2030. ¿Un atrevimiento? No</w:t>
      </w:r>
      <w:r w:rsidRPr="00D14A3D">
        <w:t xml:space="preserve">: debemos ser promotores de estos </w:t>
      </w:r>
      <w:r w:rsidRPr="00D14A3D">
        <w:rPr>
          <w:i/>
        </w:rPr>
        <w:t>Objetivos</w:t>
      </w:r>
      <w:r w:rsidRPr="00D14A3D">
        <w:t xml:space="preserve">, facilitando su conocimiento; debemos promover los valores de sostenibilidad </w:t>
      </w:r>
      <w:r w:rsidRPr="00D33B53">
        <w:t>ambiental</w:t>
      </w:r>
      <w:r w:rsidR="00CB68E7" w:rsidRPr="00D33B53">
        <w:t xml:space="preserve"> o</w:t>
      </w:r>
      <w:r w:rsidRPr="00D33B53">
        <w:t xml:space="preserve"> justicia</w:t>
      </w:r>
      <w:r w:rsidRPr="00D14A3D">
        <w:t xml:space="preserve"> ecológica.</w:t>
      </w:r>
      <w:r>
        <w:t xml:space="preserve"> </w:t>
      </w:r>
    </w:p>
    <w:p w:rsidR="000A406B" w:rsidRPr="00D14A3D" w:rsidRDefault="00741682" w:rsidP="000A406B">
      <w:pPr>
        <w:jc w:val="both"/>
      </w:pPr>
      <w:r>
        <w:t>IFLA</w:t>
      </w:r>
      <w:r w:rsidR="00896FF7">
        <w:t xml:space="preserve"> ha promovido un enfoque así </w:t>
      </w:r>
      <w:r w:rsidR="00654654">
        <w:t xml:space="preserve">al </w:t>
      </w:r>
      <w:r w:rsidR="00896FF7">
        <w:t>plantearse que las bibliotecas, que están en todo el mundo</w:t>
      </w:r>
      <w:r w:rsidR="00654654">
        <w:t>, se esfuercen por ser “</w:t>
      </w:r>
      <w:r>
        <w:t>engranajes de los motores de cambio</w:t>
      </w:r>
      <w:r w:rsidR="00654654">
        <w:t>”</w:t>
      </w:r>
      <w:r>
        <w:t>.</w:t>
      </w:r>
      <w:r w:rsidR="000A406B">
        <w:t xml:space="preserve"> En su discurso de aceptación como Presidenta de IFLA, decía Gloria </w:t>
      </w:r>
      <w:r w:rsidR="009D7023">
        <w:fldChar w:fldCharType="begin" w:fldLock="1"/>
      </w:r>
      <w:r w:rsidR="00CE4D2A">
        <w:instrText>ADDIN CSL_CITATION { "citationItems" : [ { "id" : "ITEM-1", "itemData" : { "author" : [ { "dropping-particle" : "", "family" : "P\u00e9rez-Salmer\u00f3n", "given" : "Gloria", "non-dropping-particle" : "", "parse-names" : false, "suffix" : "" } ], "container-title" : "IFLA World Library and Information Congress. Libraries. Solidarity. Society.", "id" : "ITEM-1", "issued" : { "date-parts" : [ [ "2017" ] ] }, "publisher-place" : "Wroc\u0142aw (Poland)", "title" : "Discurso de aceptaci\u00f3n", "type" : "paper-conference" }, "uris" : [ "http://www.mendeley.com/documents/?uuid=bc94d719-7385-30a2-b680-c7d598130b75" ] } ], "mendeley" : { "formattedCitation" : "(P\u00e9rez-Salmer\u00f3n, 2017)", "manualFormatting" : "P\u00e9rez-Salmer\u00f3n, (2017)", "plainTextFormattedCitation" : "(P\u00e9rez-Salmer\u00f3n, 2017)", "previouslyFormattedCitation" : "(P\u00e9rez-Salmer\u00f3n, 2017)" }, "properties" : { "noteIndex" : 8 }, "schema" : "https://github.com/citation-style-language/schema/raw/master/csl-citation.json" }</w:instrText>
      </w:r>
      <w:r w:rsidR="009D7023">
        <w:fldChar w:fldCharType="separate"/>
      </w:r>
      <w:r w:rsidR="009D7023" w:rsidRPr="009D7023">
        <w:rPr>
          <w:noProof/>
        </w:rPr>
        <w:t>Pérez-Salmerón,</w:t>
      </w:r>
      <w:r w:rsidR="005A611E">
        <w:rPr>
          <w:noProof/>
        </w:rPr>
        <w:t xml:space="preserve"> (</w:t>
      </w:r>
      <w:r w:rsidR="009D7023" w:rsidRPr="009D7023">
        <w:rPr>
          <w:noProof/>
        </w:rPr>
        <w:t>2017)</w:t>
      </w:r>
      <w:r w:rsidR="009D7023">
        <w:fldChar w:fldCharType="end"/>
      </w:r>
      <w:r w:rsidR="000A406B">
        <w:t xml:space="preserve">: “Nosotros los bibliotecarios podemos ser excepcionales en la organización, preservación y difusión de la información, pero considero que la clave de nuestro éxito para alcanzar </w:t>
      </w:r>
      <w:r w:rsidR="009D7023">
        <w:t>(…)</w:t>
      </w:r>
      <w:r w:rsidR="000A406B">
        <w:t xml:space="preserve"> nuestra misión es abordar los desafíos de la globalización todos juntos, aunando nuestros esfuerzos. (…) Hay un aspecto en el que tenemos que creer firmemente y hacer de él el "leitmotiv" de nuestro trabajo, es el de tomar la responsabilidad de facilitar todos los pasos relacionados con el acceso al conocimiento a nuestras comunidades</w:t>
      </w:r>
      <w:r w:rsidR="000A406B" w:rsidRPr="00D14A3D">
        <w:t>. Nuestra obligación va más allá de ocuparnos del funcionamiento ordinario de nuestras bibliotecas y centros de información y de alcanzar consenso en las normas y directrices en nuestro trabajo técnico. Nuestra principal tarea es ser el engranaje de los motores para un real y visible cambio en el desarrollo y empoderamiento de nuestra sociedad”.</w:t>
      </w:r>
      <w:r w:rsidR="00F5026C" w:rsidRPr="00D14A3D">
        <w:t xml:space="preserve">  </w:t>
      </w:r>
    </w:p>
    <w:p w:rsidR="00F5026C" w:rsidRDefault="003761E7" w:rsidP="000A406B">
      <w:pPr>
        <w:jc w:val="both"/>
      </w:pPr>
      <w:r>
        <w:t>Engranajes</w:t>
      </w:r>
      <w:r w:rsidR="00D14A3D">
        <w:t>: una acertada metáfora, que tiene una versión menos mecánica, más de un avanzar humanizado en este poema d</w:t>
      </w:r>
      <w:r w:rsidR="00F5026C">
        <w:t>el onubense Juan Ramón Jiménez</w:t>
      </w:r>
      <w:r w:rsidR="00D14A3D">
        <w:t xml:space="preserve"> que recito aquí en pequeño homenaje a la ciudad de que nos acoge</w:t>
      </w:r>
      <w:r w:rsidR="00F5026C">
        <w:t>:</w:t>
      </w:r>
    </w:p>
    <w:p w:rsidR="00F5026C" w:rsidRPr="00BF06AC" w:rsidRDefault="00F5026C" w:rsidP="00F5026C">
      <w:pPr>
        <w:rPr>
          <w:rFonts w:ascii="Palatino Linotype" w:hAnsi="Palatino Linotype"/>
          <w:i/>
        </w:rPr>
      </w:pPr>
      <w:r w:rsidRPr="00BF06AC">
        <w:rPr>
          <w:rFonts w:ascii="Palatino Linotype" w:hAnsi="Palatino Linotype"/>
          <w:i/>
        </w:rPr>
        <w:t>Andando, andando.</w:t>
      </w:r>
      <w:r w:rsidRPr="00BF06AC">
        <w:rPr>
          <w:rFonts w:ascii="Palatino Linotype" w:hAnsi="Palatino Linotype"/>
          <w:i/>
        </w:rPr>
        <w:br/>
        <w:t>que quiero oír cada grano</w:t>
      </w:r>
      <w:r w:rsidRPr="00BF06AC">
        <w:rPr>
          <w:rFonts w:ascii="Palatino Linotype" w:hAnsi="Palatino Linotype"/>
          <w:i/>
        </w:rPr>
        <w:br/>
        <w:t>de la arena que voy pisando.</w:t>
      </w:r>
      <w:r w:rsidRPr="00BF06AC">
        <w:rPr>
          <w:rFonts w:ascii="Palatino Linotype" w:hAnsi="Palatino Linotype"/>
          <w:i/>
        </w:rPr>
        <w:br/>
        <w:t>Andando.</w:t>
      </w:r>
      <w:r w:rsidRPr="00BF06AC">
        <w:rPr>
          <w:rFonts w:ascii="Palatino Linotype" w:hAnsi="Palatino Linotype"/>
          <w:i/>
        </w:rPr>
        <w:br/>
        <w:t>Dejad atrás los caballos,</w:t>
      </w:r>
      <w:r w:rsidRPr="00BF06AC">
        <w:rPr>
          <w:rFonts w:ascii="Palatino Linotype" w:hAnsi="Palatino Linotype"/>
          <w:i/>
        </w:rPr>
        <w:br/>
        <w:t>que yo quiero llegar tardando</w:t>
      </w:r>
      <w:r w:rsidRPr="00BF06AC">
        <w:rPr>
          <w:rFonts w:ascii="Palatino Linotype" w:hAnsi="Palatino Linotype"/>
          <w:i/>
        </w:rPr>
        <w:br/>
        <w:t>(andando, andando)</w:t>
      </w:r>
      <w:r w:rsidRPr="00BF06AC">
        <w:rPr>
          <w:rFonts w:ascii="Palatino Linotype" w:hAnsi="Palatino Linotype"/>
          <w:i/>
        </w:rPr>
        <w:br/>
        <w:t>dar mi alma a cada grano</w:t>
      </w:r>
      <w:r w:rsidRPr="00BF06AC">
        <w:rPr>
          <w:rFonts w:ascii="Palatino Linotype" w:hAnsi="Palatino Linotype"/>
          <w:i/>
        </w:rPr>
        <w:br/>
        <w:t>de la tierra que voy rozando.</w:t>
      </w:r>
    </w:p>
    <w:p w:rsidR="005B7BC9" w:rsidRDefault="001877C9" w:rsidP="005B7BC9">
      <w:pPr>
        <w:jc w:val="both"/>
      </w:pPr>
      <w:r>
        <w:t>En es</w:t>
      </w:r>
      <w:r w:rsidR="00F5026C">
        <w:t>t</w:t>
      </w:r>
      <w:r>
        <w:t xml:space="preserve">a línea está el programa IAP de </w:t>
      </w:r>
      <w:r w:rsidRPr="00D14A3D">
        <w:t xml:space="preserve">IFLA para que las asociaciones profesionales promovamos </w:t>
      </w:r>
      <w:r w:rsidR="004909DA" w:rsidRPr="00D14A3D">
        <w:t>l</w:t>
      </w:r>
      <w:r w:rsidR="000A406B" w:rsidRPr="00D14A3D">
        <w:t>a</w:t>
      </w:r>
      <w:r w:rsidRPr="00D14A3D">
        <w:t xml:space="preserve"> difusión, el apoyo y la participación nuestra y de los agentes e instituciones de nuestro entorno en la</w:t>
      </w:r>
      <w:r w:rsidR="000A406B" w:rsidRPr="00D14A3D">
        <w:t xml:space="preserve"> Agenda 2030</w:t>
      </w:r>
      <w:r w:rsidRPr="00D14A3D">
        <w:t>, formándonos en ellos y pensando cómo acercarlos a nuestra comunidad y hacer posible un desarrollo sostenible.</w:t>
      </w:r>
      <w:r w:rsidR="009B5209" w:rsidRPr="00D14A3D">
        <w:t xml:space="preserve">  </w:t>
      </w:r>
      <w:r w:rsidR="009B5209">
        <w:t>La IFLA</w:t>
      </w:r>
      <w:r w:rsidR="009B5209">
        <w:fldChar w:fldCharType="begin" w:fldLock="1"/>
      </w:r>
      <w:r w:rsidR="001B7CF0">
        <w:instrText>ADDIN CSL_CITATION { "citationItems" : [ { "id" : "ITEM-1", "itemData" : { "abstract" : "la Federaci\u00f3n Internacional de Asociaciones de Bibliotecarios y Bibliotecas (IFLA) cree que el hecho de incrementar el acceso a la informaci\u00f3n y el conocimiento en la sociedad con la ayuda de las tecnolog\u00edas de la informaci\u00f3n y las comunicaciones, promueve el desarrollo sostenible y mejora la vida de las personas. En septiembre de 2015, los Estados Miembro de las Naciones Unidas adoptaron el documento \" Transformar nuestro mundo: la Agenda 2030 para el Desarrollo Sostenible \" (Agenda 2030 de las Naciones Unidas). La nueva Agenda 2030 de las Naciones Unidas es un marco inclusivo, integrado por 17 Objetivos de Desarrollo Sostenible (SDG) que abarcan el desarrollo econ\u00f3mico, ambiental y social. A trav\u00e9s del logro de los objetivos de esta agenda, nadie quedar\u00e1 relegado. Las bibliotecas son instituciones fundamentales para lograr estos Objetivos. El acceso p\u00fablico a la informaci\u00f3n permite a las personas tomar decisiones informadas que pueden mejorar sus vidas. Las comunidades que tienen acceso a informaci\u00f3n oportuna y relevante est\u00e1n mejor posicionadas para erradicar la pobreza y la inequidad, mejorar la agricultura, proporcionar educaci\u00f3n de calidad y promover la salud, la cultura, la investigaci\u00f3n y la innovaci\u00f3n. 1 El acceso a la informaci\u00f3n ha sido reconocido en el Objetivo 16 de los ODS. Promover sociedades pac\u00edficas e inclusivas para el desarrollo sostenible, facilitar el acceso a la justicia para todos y crear instituciones eficaces, responsables e inclusivas a todos los niveles. Objetivo 16.10. Garantizar el acceso p\u00fablico a la informaci\u00f3n y proteger las libertades fundamentales, de conformidad con las leyes nacionales y los acuerdos internacionales. La cultura(obj1.4) y las TIC (obj 5b,9c,17.8) tambi\u00e9n han sido incluidas en los ODS.", "author" : [ { "dropping-particle" : "", "family" : "IFLA", "given" : "", "non-dropping-particle" : "", "parse-names" : false, "suffix" : "" } ], "id" : "ITEM-1", "issued" : { "date-parts" : [ [ "2016" ] ] }, "title" : "Acceso y oportunidades para todos. C\u00f3mo contribuyen las bibliotecas a la Agenda 2030 de las Naciones Unidas", "type" : "report" }, "uris" : [ "http://www.mendeley.com/documents/?uuid=82df609e-dbc1-37fd-b5b5-c23ece023ef7" ] } ], "mendeley" : { "formattedCitation" : "(IFLA, 2016)", "manualFormatting" : " (2016)", "plainTextFormattedCitation" : "(IFLA, 2016)", "previouslyFormattedCitation" : "(IFLA, 2016)" }, "properties" : { "noteIndex" : 9 }, "schema" : "https://github.com/citation-style-language/schema/raw/master/csl-citation.json" }</w:instrText>
      </w:r>
      <w:r w:rsidR="009B5209">
        <w:fldChar w:fldCharType="separate"/>
      </w:r>
      <w:r w:rsidR="001B7CF0">
        <w:rPr>
          <w:noProof/>
        </w:rPr>
        <w:t xml:space="preserve"> (</w:t>
      </w:r>
      <w:r w:rsidR="009B5209" w:rsidRPr="009B5209">
        <w:rPr>
          <w:noProof/>
        </w:rPr>
        <w:t>2016)</w:t>
      </w:r>
      <w:r w:rsidR="009B5209">
        <w:fldChar w:fldCharType="end"/>
      </w:r>
      <w:r w:rsidR="009B5209">
        <w:t xml:space="preserve"> ya ha recopilado numerosas buenas prácticas </w:t>
      </w:r>
      <w:r w:rsidR="001B7CF0">
        <w:t>en ese sentido, demostrando qu</w:t>
      </w:r>
      <w:r w:rsidR="005B7BC9">
        <w:t>e</w:t>
      </w:r>
      <w:r w:rsidR="001B7CF0">
        <w:t xml:space="preserve"> e</w:t>
      </w:r>
      <w:r w:rsidR="001B7CF0" w:rsidRPr="001B7CF0">
        <w:t xml:space="preserve">l acceso a la información </w:t>
      </w:r>
      <w:r w:rsidR="001B7CF0">
        <w:t xml:space="preserve">contribuye de modo transversal al logro de todos los </w:t>
      </w:r>
      <w:r w:rsidR="001B7CF0" w:rsidRPr="00D14A3D">
        <w:rPr>
          <w:i/>
        </w:rPr>
        <w:t>Objetivos de Desarrollo Sostenible</w:t>
      </w:r>
      <w:r w:rsidR="001B7CF0">
        <w:t>,</w:t>
      </w:r>
      <w:r w:rsidR="0099668D">
        <w:t xml:space="preserve"> al</w:t>
      </w:r>
      <w:r w:rsidR="005B7BC9">
        <w:t xml:space="preserve"> </w:t>
      </w:r>
    </w:p>
    <w:p w:rsidR="005B7BC9" w:rsidRDefault="005B7BC9" w:rsidP="0099668D">
      <w:pPr>
        <w:pStyle w:val="Prrafodelista"/>
        <w:numPr>
          <w:ilvl w:val="0"/>
          <w:numId w:val="4"/>
        </w:numPr>
        <w:jc w:val="both"/>
      </w:pPr>
      <w:r>
        <w:t>Promover la alfabetización universal, incluyendo la alfabetización y las habilidades digitales, mediá</w:t>
      </w:r>
      <w:r w:rsidR="0099668D">
        <w:t>ticas e informacionales</w:t>
      </w:r>
    </w:p>
    <w:p w:rsidR="005B7BC9" w:rsidRDefault="005B7BC9" w:rsidP="0099668D">
      <w:pPr>
        <w:pStyle w:val="Prrafodelista"/>
        <w:numPr>
          <w:ilvl w:val="0"/>
          <w:numId w:val="4"/>
        </w:numPr>
        <w:jc w:val="both"/>
      </w:pPr>
      <w:r>
        <w:lastRenderedPageBreak/>
        <w:t xml:space="preserve">Superar las dificultades en el acceso a la información y </w:t>
      </w:r>
      <w:r w:rsidR="0099668D">
        <w:t xml:space="preserve">ayudar al gobierno, la sociedad </w:t>
      </w:r>
      <w:r>
        <w:t>civil y la empresa a comprender mejor las necesidades locales en materia de información;</w:t>
      </w:r>
    </w:p>
    <w:p w:rsidR="005B7BC9" w:rsidRPr="00D14A3D" w:rsidRDefault="005B7BC9" w:rsidP="0099668D">
      <w:pPr>
        <w:pStyle w:val="Prrafodelista"/>
        <w:numPr>
          <w:ilvl w:val="0"/>
          <w:numId w:val="4"/>
        </w:numPr>
        <w:jc w:val="both"/>
      </w:pPr>
      <w:r>
        <w:t>Promover la inclusión digita</w:t>
      </w:r>
      <w:r w:rsidR="00016B23">
        <w:t xml:space="preserve">l a través del acceso a las </w:t>
      </w:r>
      <w:r w:rsidR="00016B23" w:rsidRPr="00D14A3D">
        <w:t>tecnología</w:t>
      </w:r>
      <w:r w:rsidR="005A611E" w:rsidRPr="00D14A3D">
        <w:t>s</w:t>
      </w:r>
    </w:p>
    <w:p w:rsidR="005B7BC9" w:rsidRDefault="005B7BC9" w:rsidP="0099668D">
      <w:pPr>
        <w:pStyle w:val="Prrafodelista"/>
        <w:numPr>
          <w:ilvl w:val="0"/>
          <w:numId w:val="4"/>
        </w:numPr>
        <w:jc w:val="both"/>
      </w:pPr>
      <w:r>
        <w:t>Actuar como el centro de la comunidad académica y de investigación</w:t>
      </w:r>
    </w:p>
    <w:p w:rsidR="005B7BC9" w:rsidRDefault="005B7BC9" w:rsidP="0099668D">
      <w:pPr>
        <w:pStyle w:val="Prrafodelista"/>
        <w:numPr>
          <w:ilvl w:val="0"/>
          <w:numId w:val="4"/>
        </w:numPr>
        <w:jc w:val="both"/>
      </w:pPr>
      <w:r>
        <w:t>Preservar y proporcionar el acceso a la cul</w:t>
      </w:r>
      <w:r w:rsidR="0099668D">
        <w:t>tura y el patrimonio del mundo.</w:t>
      </w:r>
    </w:p>
    <w:p w:rsidR="001B7CF0" w:rsidRPr="001B7CF0" w:rsidRDefault="001B7CF0" w:rsidP="001B7CF0">
      <w:pPr>
        <w:jc w:val="both"/>
      </w:pPr>
      <w:r>
        <w:t xml:space="preserve"> </w:t>
      </w:r>
      <w:r w:rsidR="00016B23">
        <w:t>y particularmente contribuye a objetivos específicos como</w:t>
      </w:r>
      <w:r w:rsidRPr="001B7CF0">
        <w:t>:</w:t>
      </w:r>
    </w:p>
    <w:p w:rsidR="001B7CF0" w:rsidRPr="001B7CF0" w:rsidRDefault="001B7CF0" w:rsidP="001B7CF0">
      <w:pPr>
        <w:pStyle w:val="Prrafodelista"/>
        <w:numPr>
          <w:ilvl w:val="0"/>
          <w:numId w:val="3"/>
        </w:numPr>
        <w:jc w:val="both"/>
      </w:pPr>
      <w:r w:rsidRPr="001B7CF0">
        <w:t>La erradicación de la pobreza</w:t>
      </w:r>
    </w:p>
    <w:p w:rsidR="001B7CF0" w:rsidRPr="001B7CF0" w:rsidRDefault="001B7CF0" w:rsidP="001B7CF0">
      <w:pPr>
        <w:pStyle w:val="Prrafodelista"/>
        <w:numPr>
          <w:ilvl w:val="0"/>
          <w:numId w:val="3"/>
        </w:numPr>
        <w:jc w:val="both"/>
      </w:pPr>
      <w:r w:rsidRPr="001B7CF0">
        <w:t>La agricultura</w:t>
      </w:r>
    </w:p>
    <w:p w:rsidR="001B7CF0" w:rsidRPr="001B7CF0" w:rsidRDefault="001B7CF0" w:rsidP="001B7CF0">
      <w:pPr>
        <w:pStyle w:val="Prrafodelista"/>
        <w:numPr>
          <w:ilvl w:val="0"/>
          <w:numId w:val="3"/>
        </w:numPr>
        <w:jc w:val="both"/>
      </w:pPr>
      <w:r w:rsidRPr="001B7CF0">
        <w:t>La educación de calidad</w:t>
      </w:r>
    </w:p>
    <w:p w:rsidR="001B7CF0" w:rsidRPr="001B7CF0" w:rsidRDefault="001B7CF0" w:rsidP="001B7CF0">
      <w:pPr>
        <w:pStyle w:val="Prrafodelista"/>
        <w:numPr>
          <w:ilvl w:val="0"/>
          <w:numId w:val="3"/>
        </w:numPr>
        <w:jc w:val="both"/>
      </w:pPr>
      <w:r w:rsidRPr="001B7CF0">
        <w:t>La salud y el bienestar</w:t>
      </w:r>
    </w:p>
    <w:p w:rsidR="001B7CF0" w:rsidRPr="001B7CF0" w:rsidRDefault="001B7CF0" w:rsidP="001B7CF0">
      <w:pPr>
        <w:pStyle w:val="Prrafodelista"/>
        <w:numPr>
          <w:ilvl w:val="0"/>
          <w:numId w:val="3"/>
        </w:numPr>
        <w:jc w:val="both"/>
      </w:pPr>
      <w:r w:rsidRPr="001B7CF0">
        <w:t>El acceso público a las TIC</w:t>
      </w:r>
    </w:p>
    <w:p w:rsidR="001B7CF0" w:rsidRPr="001B7CF0" w:rsidRDefault="001B7CF0" w:rsidP="001B7CF0">
      <w:pPr>
        <w:pStyle w:val="Prrafodelista"/>
        <w:numPr>
          <w:ilvl w:val="0"/>
          <w:numId w:val="3"/>
        </w:numPr>
        <w:jc w:val="both"/>
      </w:pPr>
      <w:r w:rsidRPr="001B7CF0">
        <w:t>La cultura</w:t>
      </w:r>
    </w:p>
    <w:p w:rsidR="001B7CF0" w:rsidRPr="001B7CF0" w:rsidRDefault="001B7CF0" w:rsidP="001B7CF0">
      <w:pPr>
        <w:pStyle w:val="Prrafodelista"/>
        <w:numPr>
          <w:ilvl w:val="0"/>
          <w:numId w:val="3"/>
        </w:numPr>
        <w:jc w:val="both"/>
      </w:pPr>
      <w:r w:rsidRPr="001B7CF0">
        <w:t>El crecimiento económico</w:t>
      </w:r>
    </w:p>
    <w:p w:rsidR="001B7CF0" w:rsidRDefault="001B7CF0" w:rsidP="001B7CF0">
      <w:pPr>
        <w:pStyle w:val="Prrafodelista"/>
        <w:numPr>
          <w:ilvl w:val="0"/>
          <w:numId w:val="3"/>
        </w:numPr>
        <w:jc w:val="both"/>
      </w:pPr>
      <w:r w:rsidRPr="001B7CF0">
        <w:t>La sociedad civil</w:t>
      </w:r>
    </w:p>
    <w:p w:rsidR="001B7CF0" w:rsidRDefault="001B7CF0" w:rsidP="001B7CF0">
      <w:pPr>
        <w:pStyle w:val="Prrafodelista"/>
        <w:numPr>
          <w:ilvl w:val="0"/>
          <w:numId w:val="3"/>
        </w:numPr>
        <w:jc w:val="both"/>
      </w:pPr>
      <w:r w:rsidRPr="001B7CF0">
        <w:t>La igualdad de género…</w:t>
      </w:r>
    </w:p>
    <w:p w:rsidR="001B7CF0" w:rsidRDefault="00016B23" w:rsidP="001877C9">
      <w:pPr>
        <w:jc w:val="both"/>
      </w:pPr>
      <w:r>
        <w:t>Los eje</w:t>
      </w:r>
      <w:r w:rsidR="005A611E">
        <w:t xml:space="preserve">mplos de ello se están </w:t>
      </w:r>
      <w:r w:rsidR="005A611E" w:rsidRPr="00D14A3D">
        <w:t>extendiendo</w:t>
      </w:r>
      <w:r>
        <w:t xml:space="preserve">, y nosotros podemos también ser protagonistas en </w:t>
      </w:r>
      <w:r w:rsidR="00E15E5B">
        <w:t>amplia</w:t>
      </w:r>
      <w:r w:rsidR="00377374">
        <w:t>r la base de datos de buenas prá</w:t>
      </w:r>
      <w:r w:rsidR="00E15E5B">
        <w:t>cticas</w:t>
      </w:r>
      <w:r w:rsidR="00377374">
        <w:t xml:space="preserve"> y aprovechar una guía o </w:t>
      </w:r>
      <w:r w:rsidR="00377374" w:rsidRPr="00D14A3D">
        <w:rPr>
          <w:i/>
        </w:rPr>
        <w:t>toolkit</w:t>
      </w:r>
      <w:r w:rsidR="00377374">
        <w:t xml:space="preserve"> de cómo hacerlo en nuestra biblioteca, proyectando la importancia de los </w:t>
      </w:r>
      <w:r w:rsidR="00377374" w:rsidRPr="00D14A3D">
        <w:rPr>
          <w:i/>
        </w:rPr>
        <w:t>Objetivos,</w:t>
      </w:r>
      <w:r w:rsidR="00377374">
        <w:t xml:space="preserve"> difundiéndolos en nuestra biblioteca y trabajando por ellos. Como </w:t>
      </w:r>
      <w:r w:rsidR="005B7BC9">
        <w:t>dijo Gandhi</w:t>
      </w:r>
      <w:r w:rsidR="00F5026C">
        <w:t>, nuestra</w:t>
      </w:r>
      <w:r w:rsidR="005B7BC9">
        <w:t xml:space="preserve"> recompensa debe estar en el esfuerzo </w:t>
      </w:r>
      <w:r w:rsidR="0017631E">
        <w:t>y no en el resultado. Un esfuerzo total es una victoria completa</w:t>
      </w:r>
      <w:r w:rsidR="00AB648D">
        <w:t>, y el esfuerzo</w:t>
      </w:r>
      <w:r w:rsidR="000E0391">
        <w:t>,</w:t>
      </w:r>
      <w:r w:rsidR="00AB648D">
        <w:t xml:space="preserve"> de acuerdo con IFLA</w:t>
      </w:r>
      <w:r w:rsidR="000E0391">
        <w:t>,</w:t>
      </w:r>
      <w:r w:rsidR="00AB648D">
        <w:t xml:space="preserve"> debería </w:t>
      </w:r>
      <w:r w:rsidR="000E0391">
        <w:t>dirigirse sobre todo a</w:t>
      </w:r>
      <w:r w:rsidR="00AB648D">
        <w:t>:</w:t>
      </w:r>
    </w:p>
    <w:p w:rsidR="00AB648D" w:rsidRPr="00AB648D" w:rsidRDefault="00AB648D" w:rsidP="00AB648D">
      <w:pPr>
        <w:pStyle w:val="Prrafodelista"/>
        <w:numPr>
          <w:ilvl w:val="0"/>
          <w:numId w:val="6"/>
        </w:numPr>
        <w:jc w:val="both"/>
      </w:pPr>
      <w:r w:rsidRPr="00AB648D">
        <w:t>Trabajar juntos en una visión global</w:t>
      </w:r>
    </w:p>
    <w:p w:rsidR="00AB648D" w:rsidRPr="00AB648D" w:rsidRDefault="00AB648D" w:rsidP="00AB648D">
      <w:pPr>
        <w:pStyle w:val="Prrafodelista"/>
        <w:numPr>
          <w:ilvl w:val="0"/>
          <w:numId w:val="6"/>
        </w:numPr>
        <w:jc w:val="both"/>
      </w:pPr>
      <w:r w:rsidRPr="00AB648D">
        <w:t>Apoyar el derecho de acceso a la información y jugar un importante rol en el desarrollo de las habilidades de los usuarios</w:t>
      </w:r>
    </w:p>
    <w:p w:rsidR="00AB648D" w:rsidRPr="00AB648D" w:rsidRDefault="00AB648D" w:rsidP="00AB648D">
      <w:pPr>
        <w:pStyle w:val="Prrafodelista"/>
        <w:numPr>
          <w:ilvl w:val="0"/>
          <w:numId w:val="6"/>
        </w:numPr>
        <w:jc w:val="both"/>
      </w:pPr>
      <w:r w:rsidRPr="00AB648D">
        <w:t>Empoderar e inspirar a la sociedad: facilitando el acceso universal a la información, el conocimiento y la cultura, a fin de fomentar el desarrollo, el aprendizaje, la creatividad y la innovación</w:t>
      </w:r>
    </w:p>
    <w:p w:rsidR="00AB648D" w:rsidRDefault="00AB648D" w:rsidP="00AB648D">
      <w:pPr>
        <w:pStyle w:val="Prrafodelista"/>
        <w:numPr>
          <w:ilvl w:val="0"/>
          <w:numId w:val="6"/>
        </w:numPr>
        <w:jc w:val="both"/>
      </w:pPr>
      <w:r w:rsidRPr="00AB648D">
        <w:t>En definitiva, ayudar a desarrollar a las comunidades para alcanzar los objetivos de la Agenda 2030</w:t>
      </w:r>
    </w:p>
    <w:p w:rsidR="008D1BC6" w:rsidRDefault="000E0391" w:rsidP="00F5026C">
      <w:pPr>
        <w:jc w:val="both"/>
      </w:pPr>
      <w:r>
        <w:t>A</w:t>
      </w:r>
      <w:r w:rsidR="00377374">
        <w:t xml:space="preserve">cabaría recomendando una posibilidad en línea con la creación de mejoras prácticas personales y comunitarias a través de nuestra biblioteca: intentando formar en competencias informacionales </w:t>
      </w:r>
      <w:r w:rsidR="00377374" w:rsidRPr="000E0391">
        <w:t>básica</w:t>
      </w:r>
      <w:r w:rsidR="005A611E" w:rsidRPr="000E0391">
        <w:t>s</w:t>
      </w:r>
      <w:r>
        <w:t xml:space="preserve"> para la vida, que en cierto modo integrarían una formación informacional crítica para que los individuos adoptaran una actitud acorde con los Objetivos de Naciones Unidas para transformar nuestro mundo:</w:t>
      </w:r>
    </w:p>
    <w:p w:rsidR="008D1BC6" w:rsidRDefault="008D1BC6" w:rsidP="008D1BC6">
      <w:pPr>
        <w:pStyle w:val="Prrafodelista"/>
        <w:numPr>
          <w:ilvl w:val="0"/>
          <w:numId w:val="5"/>
        </w:numPr>
        <w:jc w:val="both"/>
      </w:pPr>
      <w:r>
        <w:t>L</w:t>
      </w:r>
      <w:r w:rsidR="00377374">
        <w:t>a alfabetización en salud y hábitos saludables</w:t>
      </w:r>
      <w:r>
        <w:t>, entendida según la OMS como</w:t>
      </w:r>
      <w:r w:rsidRPr="008D1BC6">
        <w:t xml:space="preserve"> las habilidades cognitivas y sociales que determinan la motivación y la capacidad de los individuos para acceder a la información, comprenderla y utilizarla para mantener una buena salud.</w:t>
      </w:r>
    </w:p>
    <w:p w:rsidR="008D1BC6" w:rsidRPr="00FB2B25" w:rsidRDefault="008D1BC6" w:rsidP="00FB2B25">
      <w:pPr>
        <w:pStyle w:val="Prrafodelista"/>
        <w:numPr>
          <w:ilvl w:val="0"/>
          <w:numId w:val="5"/>
        </w:numPr>
        <w:jc w:val="both"/>
      </w:pPr>
      <w:r>
        <w:t xml:space="preserve">La </w:t>
      </w:r>
      <w:r w:rsidR="00377374">
        <w:t>alfabetización ambiental</w:t>
      </w:r>
      <w:r w:rsidR="00FB2B25">
        <w:t xml:space="preserve"> como vía para cono</w:t>
      </w:r>
      <w:r w:rsidR="00FB2B25" w:rsidRPr="00FB2B25">
        <w:t>c</w:t>
      </w:r>
      <w:r w:rsidR="00FB2B25">
        <w:t>er</w:t>
      </w:r>
      <w:r w:rsidR="00FB2B25" w:rsidRPr="00FB2B25">
        <w:t xml:space="preserve"> los conceptos sobre el cambio climático y se</w:t>
      </w:r>
      <w:r w:rsidR="00FB2B25">
        <w:t>r</w:t>
      </w:r>
      <w:r w:rsidR="00FB2B25" w:rsidRPr="00FB2B25">
        <w:t xml:space="preserve"> consciente</w:t>
      </w:r>
      <w:r w:rsidR="00FB2B25">
        <w:t>s</w:t>
      </w:r>
      <w:r w:rsidR="00FB2B25" w:rsidRPr="00FB2B25">
        <w:t xml:space="preserve"> de la amenaza </w:t>
      </w:r>
      <w:r w:rsidR="00FB2B25">
        <w:t xml:space="preserve">que supone para </w:t>
      </w:r>
      <w:r w:rsidR="00FB2B25" w:rsidRPr="00FB2B25">
        <w:t>el planeta</w:t>
      </w:r>
      <w:r w:rsidR="00FB2B25">
        <w:t>, con el fin de adoptar posturas coherentes con</w:t>
      </w:r>
      <w:r w:rsidR="00A22C20">
        <w:t xml:space="preserve"> reducir el impacto medioambiental de nuestra vida y promover prácticas respetuosa</w:t>
      </w:r>
      <w:r w:rsidR="00FB2B25" w:rsidRPr="00FB2B25">
        <w:t>s con el medio ambiente</w:t>
      </w:r>
    </w:p>
    <w:p w:rsidR="008D1BC6" w:rsidRDefault="008D1BC6" w:rsidP="009947E1">
      <w:pPr>
        <w:pStyle w:val="Prrafodelista"/>
        <w:numPr>
          <w:ilvl w:val="0"/>
          <w:numId w:val="5"/>
        </w:numPr>
        <w:jc w:val="both"/>
      </w:pPr>
      <w:r>
        <w:lastRenderedPageBreak/>
        <w:t xml:space="preserve">La </w:t>
      </w:r>
      <w:r w:rsidR="00377374">
        <w:t>alfabetización financiera y para el consumo responsable</w:t>
      </w:r>
      <w:r w:rsidR="009947E1">
        <w:t xml:space="preserve">, que por un lado trata de ofrecer información útil para la vida diaria, enseñar a utilizarla para tomar decisiones seguras de compra. Y por otro, proporciona contenidos y herramientas para mejorar la educación para un consumo más responsable, educando para mejorar nuestro comportamiento en términos de consumo responsable.  </w:t>
      </w:r>
      <w:r w:rsidR="009947E1">
        <w:fldChar w:fldCharType="begin" w:fldLock="1"/>
      </w:r>
      <w:r w:rsidR="009947E1">
        <w:instrText>ADDIN CSL_CITATION { "citationItems" : [ { "id" : "ITEM-1", "itemData" : { "abstract" : "Dolceta (Development of online consumer education tool for adults) es un proyecto educativo online impulsado por la Comisi\ufffdn Europea que implica a 28 pa\ufffdses de la misma, y pretende desarrollar la educaci\ufffdn para el consumo bas\ufffdndose en las nuevas tecnolog\ufffdas de la informaci\ufffdn. Se describe el m\ufffddulo sobre alfabetizaci\ufffdn financiera que se elabor\ufffd en el caso de la plataforma espa\ufffdola. Se explica c\ufffdmo se tomaron las decisiones relacionadas con este m\ufffddulo, y la coordinaci\ufffdn que tuvo lugar con los equipos de los pa\ufffdses participantes para construir contenidos y actividades. Se expone c\ufffdmo se organiz\ufffd y llev\ufffd a cabo esta experiencia adaptada al contexto espa\ufffdol, para que pueda ser utilizada en otros pa\ufffdses y/o entornos y pueda contribuir a la difusi\ufffdn y homogeneidad de una mejor alfabetizaci\ufffdn financiera. Con esta herramienta se remarca la necesidad de estas experiencias formativas en la sociedad, especialmente desde edades tempranas.(A)", "author" : [ { "dropping-particle" : "", "family" : "S\u00e1nchez Rebull", "given" : "Mar\u00eda Victoria", "non-dropping-particle" : "", "parse-names" : false, "suffix" : "" }, { "dropping-particle" : "", "family" : "Campa Planas", "given" : "Fernando", "non-dropping-particle" : "", "parse-names" : false, "suffix" : "" }, { "dropping-particle" : "", "family" : "Hern\u00e1ndez Lara", "given" : "Ana B.", "non-dropping-particle" : "", "parse-names" : false, "suffix" : "" } ], "container-title" : "El Profesional de la Informacion", "id" : "ITEM-1", "issue" : "6", "issued" : { "date-parts" : [ [ "2011" ] ] }, "note" : "NULL", "page" : "682-688", "title" : "Dolceta , educaci\u00f3n online para los consumidores : m\u00f3dulo de alfabetizaci\u00f3n financiera en Espa\u00f1a", "type" : "article-journal", "volume" : "20" }, "uris" : [ "http://www.mendeley.com/documents/?uuid=64a9e5c2-972d-4beb-9a1d-2b5ff6f0d827" ] } ], "mendeley" : { "formattedCitation" : "(S\u00e1nchez Rebull, Campa Planas, &amp; Hern\u00e1ndez Lara, 2011)", "plainTextFormattedCitation" : "(S\u00e1nchez Rebull, Campa Planas, &amp; Hern\u00e1ndez Lara, 2011)", "previouslyFormattedCitation" : "(S\u00e1nchez Rebull, Campa Planas, &amp; Hern\u00e1ndez Lara, 2011)" }, "properties" : { "noteIndex" : 10 }, "schema" : "https://github.com/citation-style-language/schema/raw/master/csl-citation.json" }</w:instrText>
      </w:r>
      <w:r w:rsidR="009947E1">
        <w:fldChar w:fldCharType="separate"/>
      </w:r>
      <w:r w:rsidR="009947E1" w:rsidRPr="009947E1">
        <w:rPr>
          <w:noProof/>
        </w:rPr>
        <w:t>(Sánchez Rebull, Campa Planas, &amp; Hernández Lara, 2011)</w:t>
      </w:r>
      <w:r w:rsidR="009947E1">
        <w:fldChar w:fldCharType="end"/>
      </w:r>
    </w:p>
    <w:p w:rsidR="008D1BC6" w:rsidRDefault="008D1BC6" w:rsidP="008D1BC6">
      <w:pPr>
        <w:pStyle w:val="Prrafodelista"/>
        <w:numPr>
          <w:ilvl w:val="0"/>
          <w:numId w:val="5"/>
        </w:numPr>
        <w:jc w:val="both"/>
      </w:pPr>
      <w:r>
        <w:t xml:space="preserve">La </w:t>
      </w:r>
      <w:r w:rsidR="00377374">
        <w:t>alfab</w:t>
      </w:r>
      <w:r w:rsidR="00A25BDB">
        <w:t xml:space="preserve">etización ciudadana, relativa a </w:t>
      </w:r>
      <w:r w:rsidR="00377374">
        <w:t>la participación demo</w:t>
      </w:r>
      <w:r w:rsidR="00F5026C">
        <w:t>c</w:t>
      </w:r>
      <w:r w:rsidR="00377374">
        <w:t xml:space="preserve">rática, el buen gobierno, la transparencia y la rendición de cuentas. </w:t>
      </w:r>
      <w:r w:rsidR="000E0391">
        <w:t>Si queremos mejorar la calidad de nuestras instituciones y nuestros gobiernos, tenemos que enseñar, empezando por las personas jóvenes, que tienen derecho a una información veraz de lo que hacen los gobiernos, asociaciones y todo tipo de organismos, que se puede pedir y cómo, que tenemos portales de transparencia a los que hay que acudir, que tenemos derecho a participar en los procesos de toma de decisiones e incluso a impulsar cambios a través de tecnologías sociales,</w:t>
      </w:r>
      <w:r w:rsidR="00C03502">
        <w:t xml:space="preserve"> que hay herramientas digitales para la democracia y la participación que podemos usar… </w:t>
      </w:r>
      <w:r w:rsidR="000E0391">
        <w:t xml:space="preserve"> </w:t>
      </w:r>
    </w:p>
    <w:p w:rsidR="009947E1" w:rsidRDefault="005A611E" w:rsidP="008D1BC6">
      <w:pPr>
        <w:pStyle w:val="Prrafodelista"/>
        <w:numPr>
          <w:ilvl w:val="0"/>
          <w:numId w:val="5"/>
        </w:numPr>
        <w:jc w:val="both"/>
      </w:pPr>
      <w:r w:rsidRPr="00C03502">
        <w:t>La c</w:t>
      </w:r>
      <w:r w:rsidR="009947E1" w:rsidRPr="00C03502">
        <w:t>o</w:t>
      </w:r>
      <w:r w:rsidR="009947E1">
        <w:t xml:space="preserve">mpetencia </w:t>
      </w:r>
      <w:r w:rsidR="00A22C20">
        <w:t>informativo-</w:t>
      </w:r>
      <w:r w:rsidR="009947E1">
        <w:t>digital crítica, abarcando búsqueda y evaluación de información, comunicación y cooperación en redes, creación de contenidos, uso seguro y responsable</w:t>
      </w:r>
      <w:r w:rsidR="00A25BDB">
        <w:t>, y resolución de problemas, de acu</w:t>
      </w:r>
      <w:r w:rsidR="00BC6EDF">
        <w:t xml:space="preserve">erdo con el marco europeo de la </w:t>
      </w:r>
      <w:r w:rsidR="00A25BDB">
        <w:t xml:space="preserve">competencia digital </w:t>
      </w:r>
      <w:r w:rsidR="00A25BDB">
        <w:fldChar w:fldCharType="begin" w:fldLock="1"/>
      </w:r>
      <w:r w:rsidR="00A25BDB">
        <w:instrText>ADDIN CSL_CITATION { "citationItems" : [ { "id" : "ITEM-1", "itemData" : { "author" : [ { "dropping-particle" : "", "family" : "Punie", "given" : "Yves", "non-dropping-particle" : "", "parse-names" : false, "suffix" : "" }, { "dropping-particle" : "", "family" : "Brecko", "given" : "Barbara N", "non-dropping-particle" : "", "parse-names" : false, "suffix" : "" } ], "id" : "ITEM-1", "issue" : "May", "issued" : { "date-parts" : [ [ "2014" ] ] }, "publisher" : "Comisi\u00f3n Europea", "publisher-place" : "Bruselas", "title" : "DIGCOMP: Marco Europeo de competencias digitales", "type" : "article" }, "uris" : [ "http://www.mendeley.com/documents/?uuid=e84ef5c0-aff7-4b7b-aee7-d89dd9cd754c" ] } ], "mendeley" : { "formattedCitation" : "(Punie &amp; Brecko, 2014)", "plainTextFormattedCitation" : "(Punie &amp; Brecko, 2014)", "previouslyFormattedCitation" : "(Punie &amp; Brecko, 2014)" }, "properties" : { "noteIndex" : 10 }, "schema" : "https://github.com/citation-style-language/schema/raw/master/csl-citation.json" }</w:instrText>
      </w:r>
      <w:r w:rsidR="00A25BDB">
        <w:fldChar w:fldCharType="separate"/>
      </w:r>
      <w:r w:rsidR="00A25BDB" w:rsidRPr="00A25BDB">
        <w:rPr>
          <w:noProof/>
        </w:rPr>
        <w:t>(Punie &amp; Brecko, 2014)</w:t>
      </w:r>
      <w:r w:rsidR="00A25BDB">
        <w:fldChar w:fldCharType="end"/>
      </w:r>
    </w:p>
    <w:p w:rsidR="00F5026C" w:rsidRDefault="00F5026C" w:rsidP="008D1BC6">
      <w:pPr>
        <w:jc w:val="both"/>
      </w:pPr>
      <w:r w:rsidRPr="00C03502">
        <w:t>Son simples ejemplos de programas en que formaríamos en la información para la vida cotidiana mejorando habilidades y capacidades críticas que contribuy</w:t>
      </w:r>
      <w:r w:rsidR="00056180" w:rsidRPr="00C03502">
        <w:t>a</w:t>
      </w:r>
      <w:r w:rsidRPr="00C03502">
        <w:t>n también a mejores prácticas</w:t>
      </w:r>
      <w:r w:rsidR="00A25BDB" w:rsidRPr="00C03502">
        <w:t xml:space="preserve"> social</w:t>
      </w:r>
      <w:r w:rsidR="008D1BC6" w:rsidRPr="00C03502">
        <w:t>es y personales</w:t>
      </w:r>
      <w:r w:rsidRPr="00C03502">
        <w:t xml:space="preserve">. </w:t>
      </w:r>
      <w:r w:rsidR="00C03502">
        <w:t xml:space="preserve"> </w:t>
      </w:r>
      <w:r w:rsidR="008D1BC6">
        <w:t>Debemos inten</w:t>
      </w:r>
      <w:r>
        <w:t>tarlo</w:t>
      </w:r>
      <w:r w:rsidR="003761E7">
        <w:t xml:space="preserve"> intensamente, sin apartarnos</w:t>
      </w:r>
      <w:r>
        <w:t>, como nos pidió Mario Benedetti</w:t>
      </w:r>
      <w:r w:rsidR="00BC6EDF">
        <w:t xml:space="preserve">, sin dejar de escuchar </w:t>
      </w:r>
      <w:r w:rsidR="00C03502">
        <w:t xml:space="preserve">a los </w:t>
      </w:r>
      <w:r w:rsidR="00BC6EDF">
        <w:t>quienes nos necesitan</w:t>
      </w:r>
      <w:r>
        <w:t>:</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quedes inmóvil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al borde del camino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congeles el júbilo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quieras con desgana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salves ahora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ni nunca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salves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llenes de calma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reserves del mundo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sólo un rincón tranquilo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dejes caer los párpados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pesados como juicios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quedes sin labios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duermas sin sueño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 xml:space="preserve">no te pienses sin sangre </w:t>
      </w:r>
    </w:p>
    <w:p w:rsidR="00F5026C" w:rsidRPr="00BF06AC" w:rsidRDefault="00F5026C" w:rsidP="00F5026C">
      <w:pPr>
        <w:spacing w:after="0"/>
        <w:jc w:val="both"/>
        <w:rPr>
          <w:rFonts w:ascii="Palatino Linotype" w:hAnsi="Palatino Linotype"/>
          <w:i/>
        </w:rPr>
      </w:pPr>
      <w:r w:rsidRPr="00BF06AC">
        <w:rPr>
          <w:rFonts w:ascii="Palatino Linotype" w:hAnsi="Palatino Linotype"/>
          <w:i/>
        </w:rPr>
        <w:t>no te juzgues sin tiempo</w:t>
      </w:r>
      <w:r w:rsidR="008D1BC6" w:rsidRPr="00BF06AC">
        <w:rPr>
          <w:rFonts w:ascii="Palatino Linotype" w:hAnsi="Palatino Linotype"/>
          <w:i/>
        </w:rPr>
        <w:t>.</w:t>
      </w:r>
    </w:p>
    <w:p w:rsidR="00F5026C" w:rsidRPr="00BF06AC" w:rsidRDefault="00F5026C" w:rsidP="00F5026C">
      <w:pPr>
        <w:spacing w:after="0"/>
        <w:jc w:val="both"/>
        <w:rPr>
          <w:i/>
        </w:rPr>
      </w:pPr>
    </w:p>
    <w:p w:rsidR="00BF06AC" w:rsidRPr="00BF06AC" w:rsidRDefault="00BF06AC" w:rsidP="00BF06AC">
      <w:pPr>
        <w:spacing w:after="0"/>
        <w:rPr>
          <w:i/>
        </w:rPr>
      </w:pPr>
      <w:r w:rsidRPr="00BF06AC">
        <w:rPr>
          <w:rFonts w:ascii="Palatino Linotype" w:hAnsi="Palatino Linotype"/>
          <w:i/>
        </w:rPr>
        <w:t xml:space="preserve">pero si </w:t>
      </w:r>
      <w:r w:rsidRPr="00BF06AC">
        <w:rPr>
          <w:rFonts w:ascii="Palatino Linotype" w:hAnsi="Palatino Linotype"/>
          <w:i/>
        </w:rPr>
        <w:br/>
        <w:t xml:space="preserve">            pese a todo </w:t>
      </w:r>
      <w:r w:rsidRPr="00BF06AC">
        <w:rPr>
          <w:rFonts w:ascii="Palatino Linotype" w:hAnsi="Palatino Linotype"/>
          <w:i/>
        </w:rPr>
        <w:br/>
        <w:t>no puedes evitarlo (…)</w:t>
      </w:r>
      <w:r w:rsidRPr="00BF06AC">
        <w:rPr>
          <w:rFonts w:ascii="Palatino Linotype" w:hAnsi="Palatino Linotype"/>
          <w:i/>
        </w:rPr>
        <w:br/>
      </w:r>
      <w:r w:rsidRPr="00BF06AC">
        <w:rPr>
          <w:rFonts w:ascii="Palatino Linotype" w:hAnsi="Palatino Linotype"/>
          <w:i/>
        </w:rPr>
        <w:lastRenderedPageBreak/>
        <w:t xml:space="preserve">y reservas del mundo </w:t>
      </w:r>
      <w:r w:rsidRPr="00BF06AC">
        <w:rPr>
          <w:rFonts w:ascii="Palatino Linotype" w:hAnsi="Palatino Linotype"/>
          <w:i/>
        </w:rPr>
        <w:br/>
        <w:t>sólo un rincón tranquilo (…)</w:t>
      </w:r>
      <w:r w:rsidRPr="00BF06AC">
        <w:rPr>
          <w:rFonts w:ascii="Palatino Linotype" w:hAnsi="Palatino Linotype"/>
          <w:i/>
        </w:rPr>
        <w:br/>
        <w:t xml:space="preserve">y te piensas sin sangre </w:t>
      </w:r>
      <w:r w:rsidRPr="00BF06AC">
        <w:rPr>
          <w:rFonts w:ascii="Palatino Linotype" w:hAnsi="Palatino Linotype"/>
          <w:i/>
        </w:rPr>
        <w:br/>
        <w:t xml:space="preserve">y te juzgas sin tiempo </w:t>
      </w:r>
      <w:r w:rsidRPr="00BF06AC">
        <w:rPr>
          <w:rFonts w:ascii="Palatino Linotype" w:hAnsi="Palatino Linotype"/>
          <w:i/>
        </w:rPr>
        <w:br/>
        <w:t xml:space="preserve">y te quedas inmóvil </w:t>
      </w:r>
      <w:r w:rsidRPr="00BF06AC">
        <w:rPr>
          <w:rFonts w:ascii="Palatino Linotype" w:hAnsi="Palatino Linotype"/>
          <w:i/>
        </w:rPr>
        <w:br/>
        <w:t xml:space="preserve">al borde del camino </w:t>
      </w:r>
      <w:r w:rsidRPr="00BF06AC">
        <w:rPr>
          <w:rFonts w:ascii="Palatino Linotype" w:hAnsi="Palatino Linotype"/>
          <w:i/>
        </w:rPr>
        <w:br/>
        <w:t xml:space="preserve">y te salvas </w:t>
      </w:r>
      <w:r w:rsidRPr="00BF06AC">
        <w:rPr>
          <w:rFonts w:ascii="Palatino Linotype" w:hAnsi="Palatino Linotype"/>
          <w:i/>
        </w:rPr>
        <w:br/>
        <w:t xml:space="preserve">                    entonces </w:t>
      </w:r>
      <w:r w:rsidRPr="00BF06AC">
        <w:rPr>
          <w:rFonts w:ascii="Palatino Linotype" w:hAnsi="Palatino Linotype"/>
          <w:i/>
        </w:rPr>
        <w:br/>
        <w:t>no te quedes conmigo</w:t>
      </w:r>
      <w:r w:rsidRPr="00BF06AC">
        <w:rPr>
          <w:i/>
        </w:rPr>
        <w:t>.</w:t>
      </w:r>
    </w:p>
    <w:p w:rsidR="00BF06AC" w:rsidRDefault="00BF06AC" w:rsidP="00F5026C">
      <w:pPr>
        <w:spacing w:after="0"/>
        <w:jc w:val="both"/>
      </w:pPr>
    </w:p>
    <w:p w:rsidR="00C03502" w:rsidRDefault="00BF06AC" w:rsidP="00A41AFE">
      <w:pPr>
        <w:spacing w:after="0"/>
        <w:jc w:val="both"/>
        <w:rPr>
          <w:rFonts w:ascii="Palatino Linotype" w:hAnsi="Palatino Linotype"/>
        </w:rPr>
      </w:pPr>
      <w:r>
        <w:t>No es nuestro cas</w:t>
      </w:r>
      <w:r w:rsidR="00A41AFE">
        <w:t>o: como Gloria Fuertes</w:t>
      </w:r>
      <w:r w:rsidR="00C03502">
        <w:t xml:space="preserve"> y como Benedetti, la profesión bibliotecaria siempre responde</w:t>
      </w:r>
      <w:r w:rsidR="00A41AFE">
        <w:t xml:space="preserve"> </w:t>
      </w:r>
      <w:r w:rsidRPr="00BF06AC">
        <w:rPr>
          <w:rFonts w:ascii="Palatino Linotype" w:hAnsi="Palatino Linotype"/>
          <w:i/>
        </w:rPr>
        <w:t>Estoy con el pueblo de donde vine</w:t>
      </w:r>
      <w:r w:rsidR="00A41AFE">
        <w:rPr>
          <w:rFonts w:ascii="Palatino Linotype" w:hAnsi="Palatino Linotype"/>
          <w:i/>
        </w:rPr>
        <w:t>.</w:t>
      </w:r>
      <w:r w:rsidR="00A41AFE">
        <w:t xml:space="preserve"> </w:t>
      </w:r>
      <w:r w:rsidRPr="00BF06AC">
        <w:rPr>
          <w:rFonts w:ascii="Palatino Linotype" w:hAnsi="Palatino Linotype"/>
          <w:i/>
        </w:rPr>
        <w:t>Y adónde voy para quedarme.</w:t>
      </w:r>
      <w:r w:rsidR="00A41AFE">
        <w:rPr>
          <w:rFonts w:ascii="Palatino Linotype" w:hAnsi="Palatino Linotype"/>
        </w:rPr>
        <w:t xml:space="preserve"> </w:t>
      </w:r>
    </w:p>
    <w:p w:rsidR="00C34270" w:rsidRDefault="00C34270" w:rsidP="00BF06AC">
      <w:pPr>
        <w:pStyle w:val="Ttulo1"/>
      </w:pPr>
      <w:r>
        <w:t>Referencias</w:t>
      </w:r>
    </w:p>
    <w:p w:rsidR="00CE4D2A" w:rsidRPr="00CE4D2A" w:rsidRDefault="00547579" w:rsidP="00CE4D2A">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CE4D2A" w:rsidRPr="00CE4D2A">
        <w:rPr>
          <w:rFonts w:ascii="Calibri" w:hAnsi="Calibri" w:cs="Calibri"/>
          <w:noProof/>
          <w:szCs w:val="24"/>
        </w:rPr>
        <w:t xml:space="preserve">Gómez-Hernández, J.-A. (2009). Aprender a enseñar competencias informacionales a los usuarios: avances en la formación profesional en España. </w:t>
      </w:r>
      <w:r w:rsidR="00CE4D2A" w:rsidRPr="00CE4D2A">
        <w:rPr>
          <w:rFonts w:ascii="Calibri" w:hAnsi="Calibri" w:cs="Calibri"/>
          <w:i/>
          <w:iCs/>
          <w:noProof/>
          <w:szCs w:val="24"/>
        </w:rPr>
        <w:t>Anuario ThinkEPI</w:t>
      </w:r>
      <w:r w:rsidR="00CE4D2A" w:rsidRPr="00CE4D2A">
        <w:rPr>
          <w:rFonts w:ascii="Calibri" w:hAnsi="Calibri" w:cs="Calibri"/>
          <w:noProof/>
          <w:szCs w:val="24"/>
        </w:rPr>
        <w:t>, 106-113. http://eprints.rclis.org/18496/1/Gomez-Hernandez_aprender-ensenar-competencias.pdf</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Gómez-Hernández, J.-A. (2012). Acción bibliotecaria ahora mismo. </w:t>
      </w:r>
      <w:r w:rsidRPr="00CE4D2A">
        <w:rPr>
          <w:rFonts w:ascii="Calibri" w:hAnsi="Calibri" w:cs="Calibri"/>
          <w:i/>
          <w:iCs/>
          <w:noProof/>
          <w:szCs w:val="24"/>
        </w:rPr>
        <w:t>Boletín de la Asociación andaluza de bibliotecarios</w:t>
      </w:r>
      <w:r w:rsidRPr="00CE4D2A">
        <w:rPr>
          <w:rFonts w:ascii="Calibri" w:hAnsi="Calibri" w:cs="Calibri"/>
          <w:noProof/>
          <w:szCs w:val="24"/>
        </w:rPr>
        <w:t xml:space="preserve">, </w:t>
      </w:r>
      <w:r w:rsidRPr="00CE4D2A">
        <w:rPr>
          <w:rFonts w:ascii="Calibri" w:hAnsi="Calibri" w:cs="Calibri"/>
          <w:i/>
          <w:iCs/>
          <w:noProof/>
          <w:szCs w:val="24"/>
        </w:rPr>
        <w:t>27</w:t>
      </w:r>
      <w:r w:rsidRPr="00CE4D2A">
        <w:rPr>
          <w:rFonts w:ascii="Calibri" w:hAnsi="Calibri" w:cs="Calibri"/>
          <w:noProof/>
          <w:szCs w:val="24"/>
        </w:rPr>
        <w:t>(104), 49-64. https://doi.org/10.13140/RG.2.1.4720.9041</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Gómez-Hernández, J.-A. (2016). Las bibliotecas. En J. A. Millán (Ed.), </w:t>
      </w:r>
      <w:r w:rsidRPr="00CE4D2A">
        <w:rPr>
          <w:rFonts w:ascii="Calibri" w:hAnsi="Calibri" w:cs="Calibri"/>
          <w:i/>
          <w:iCs/>
          <w:noProof/>
          <w:szCs w:val="24"/>
        </w:rPr>
        <w:t>La Lectura en España. Informe 2017</w:t>
      </w:r>
      <w:r w:rsidRPr="00CE4D2A">
        <w:rPr>
          <w:rFonts w:ascii="Calibri" w:hAnsi="Calibri" w:cs="Calibri"/>
          <w:noProof/>
          <w:szCs w:val="24"/>
        </w:rPr>
        <w:t>. Madrid: Federación de Gremios de Editores. http://www.fge.es/lalectura/docs/J_A_Gomez-Hernandez_67-77.pdf</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Gómez-Hernández, J.-A., Hernández-Pedreño, M., &amp; Romero-Sánchez, E. (2017). Empoderamiento social y digital de los usuarios en riesgo de exclusión de la Biblioteca Regional de Murcia, España. </w:t>
      </w:r>
      <w:r w:rsidRPr="00CE4D2A">
        <w:rPr>
          <w:rFonts w:ascii="Calibri" w:hAnsi="Calibri" w:cs="Calibri"/>
          <w:i/>
          <w:iCs/>
          <w:noProof/>
          <w:szCs w:val="24"/>
        </w:rPr>
        <w:t>El Profesional de la Información</w:t>
      </w:r>
      <w:r w:rsidRPr="00CE4D2A">
        <w:rPr>
          <w:rFonts w:ascii="Calibri" w:hAnsi="Calibri" w:cs="Calibri"/>
          <w:noProof/>
          <w:szCs w:val="24"/>
        </w:rPr>
        <w:t xml:space="preserve">, </w:t>
      </w:r>
      <w:r w:rsidRPr="00CE4D2A">
        <w:rPr>
          <w:rFonts w:ascii="Calibri" w:hAnsi="Calibri" w:cs="Calibri"/>
          <w:i/>
          <w:iCs/>
          <w:noProof/>
          <w:szCs w:val="24"/>
        </w:rPr>
        <w:t>26</w:t>
      </w:r>
      <w:r w:rsidRPr="00CE4D2A">
        <w:rPr>
          <w:rFonts w:ascii="Calibri" w:hAnsi="Calibri" w:cs="Calibri"/>
          <w:noProof/>
          <w:szCs w:val="24"/>
        </w:rPr>
        <w:t>(1), 20-33.</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IFLA. (2016). </w:t>
      </w:r>
      <w:r w:rsidRPr="00CE4D2A">
        <w:rPr>
          <w:rFonts w:ascii="Calibri" w:hAnsi="Calibri" w:cs="Calibri"/>
          <w:i/>
          <w:iCs/>
          <w:noProof/>
          <w:szCs w:val="24"/>
        </w:rPr>
        <w:t>Acceso y oportunidades para todos. Cómo contribuyen las bibliotecas a la Agenda 2030 de las Naciones Unidas</w:t>
      </w:r>
      <w:r w:rsidRPr="00CE4D2A">
        <w:rPr>
          <w:rFonts w:ascii="Calibri" w:hAnsi="Calibri" w:cs="Calibri"/>
          <w:noProof/>
          <w:szCs w:val="24"/>
        </w:rPr>
        <w:t>. Recuperado a partir de http://www.ifla.org/files/assets/hq/topics/libraries-development/documents/access-and-opportunity-for-all-es.pdf</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Ministerio de Educación Cultura y Deporte. (2017). Bibliotecas públicas españolas en cifras. http://www.mecd.gob.es/cultura-mecd/areas-cultura/bibliotecas/mc/ebp/portada.html</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Pérez-Salmerón, G. (2017). Discurso de aceptación. En </w:t>
      </w:r>
      <w:r w:rsidRPr="00CE4D2A">
        <w:rPr>
          <w:rFonts w:ascii="Calibri" w:hAnsi="Calibri" w:cs="Calibri"/>
          <w:i/>
          <w:iCs/>
          <w:noProof/>
          <w:szCs w:val="24"/>
        </w:rPr>
        <w:t>IFLA World Library and Information Congress. Libraries. Solidarity. Society.</w:t>
      </w:r>
      <w:r w:rsidRPr="00CE4D2A">
        <w:rPr>
          <w:rFonts w:ascii="Calibri" w:hAnsi="Calibri" w:cs="Calibri"/>
          <w:noProof/>
          <w:szCs w:val="24"/>
        </w:rPr>
        <w:t xml:space="preserve"> Wrocław (Poland). https://www.ifla.org/ES/node/11792</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Punie, Y., &amp; Brecko, B. N. (2014). DIGCOMP: Marco Europeo de competencias digitales. Bruselas: Comisión Europea.</w:t>
      </w:r>
    </w:p>
    <w:p w:rsidR="00CE4D2A" w:rsidRPr="00CE4D2A" w:rsidRDefault="00CE4D2A" w:rsidP="00CE4D2A">
      <w:pPr>
        <w:widowControl w:val="0"/>
        <w:autoSpaceDE w:val="0"/>
        <w:autoSpaceDN w:val="0"/>
        <w:adjustRightInd w:val="0"/>
        <w:spacing w:line="240" w:lineRule="auto"/>
        <w:ind w:left="480" w:hanging="480"/>
        <w:rPr>
          <w:rFonts w:ascii="Calibri" w:hAnsi="Calibri" w:cs="Calibri"/>
          <w:noProof/>
          <w:szCs w:val="24"/>
        </w:rPr>
      </w:pPr>
      <w:r w:rsidRPr="00CE4D2A">
        <w:rPr>
          <w:rFonts w:ascii="Calibri" w:hAnsi="Calibri" w:cs="Calibri"/>
          <w:noProof/>
          <w:szCs w:val="24"/>
        </w:rPr>
        <w:t xml:space="preserve">Sánchez Rebull, M. V., Campa Planas, F., &amp; Hernández Lara, A. B. (2011). Dolceta , educación online para los consumidores : módulo de alfabetización financiera en España. </w:t>
      </w:r>
      <w:r w:rsidRPr="00CE4D2A">
        <w:rPr>
          <w:rFonts w:ascii="Calibri" w:hAnsi="Calibri" w:cs="Calibri"/>
          <w:i/>
          <w:iCs/>
          <w:noProof/>
          <w:szCs w:val="24"/>
        </w:rPr>
        <w:t>El Profesional de la Informacion</w:t>
      </w:r>
      <w:r w:rsidRPr="00CE4D2A">
        <w:rPr>
          <w:rFonts w:ascii="Calibri" w:hAnsi="Calibri" w:cs="Calibri"/>
          <w:noProof/>
          <w:szCs w:val="24"/>
        </w:rPr>
        <w:t xml:space="preserve">, </w:t>
      </w:r>
      <w:r w:rsidRPr="00CE4D2A">
        <w:rPr>
          <w:rFonts w:ascii="Calibri" w:hAnsi="Calibri" w:cs="Calibri"/>
          <w:i/>
          <w:iCs/>
          <w:noProof/>
          <w:szCs w:val="24"/>
        </w:rPr>
        <w:t>20</w:t>
      </w:r>
      <w:r w:rsidRPr="00CE4D2A">
        <w:rPr>
          <w:rFonts w:ascii="Calibri" w:hAnsi="Calibri" w:cs="Calibri"/>
          <w:noProof/>
          <w:szCs w:val="24"/>
        </w:rPr>
        <w:t>(6), 682-688.</w:t>
      </w:r>
    </w:p>
    <w:p w:rsidR="00547579" w:rsidRDefault="00CE4D2A" w:rsidP="002A75DE">
      <w:pPr>
        <w:widowControl w:val="0"/>
        <w:autoSpaceDE w:val="0"/>
        <w:autoSpaceDN w:val="0"/>
        <w:adjustRightInd w:val="0"/>
        <w:spacing w:line="240" w:lineRule="auto"/>
        <w:ind w:left="480" w:hanging="480"/>
      </w:pPr>
      <w:r w:rsidRPr="00CE4D2A">
        <w:rPr>
          <w:rFonts w:ascii="Calibri" w:hAnsi="Calibri" w:cs="Calibri"/>
          <w:noProof/>
          <w:szCs w:val="24"/>
        </w:rPr>
        <w:t xml:space="preserve">Wilson, R. (2016). Libraries Deliver: Ambition for Public Libraries in England. </w:t>
      </w:r>
      <w:r w:rsidR="002A75DE">
        <w:rPr>
          <w:rFonts w:ascii="Calibri" w:hAnsi="Calibri" w:cs="Calibri"/>
          <w:noProof/>
          <w:szCs w:val="24"/>
        </w:rPr>
        <w:t>h</w:t>
      </w:r>
      <w:r w:rsidRPr="00CE4D2A">
        <w:rPr>
          <w:rFonts w:ascii="Calibri" w:hAnsi="Calibri" w:cs="Calibri"/>
          <w:noProof/>
          <w:szCs w:val="24"/>
        </w:rPr>
        <w:t>ttps://www.gov.uk/government/uploads/system/uploads/attachment_data/file/57391</w:t>
      </w:r>
      <w:bookmarkStart w:id="0" w:name="_GoBack"/>
      <w:bookmarkEnd w:id="0"/>
      <w:r w:rsidRPr="00CE4D2A">
        <w:rPr>
          <w:rFonts w:ascii="Calibri" w:hAnsi="Calibri" w:cs="Calibri"/>
          <w:noProof/>
          <w:szCs w:val="24"/>
        </w:rPr>
        <w:t>1/Libraries_Deliver_-_Ambition_for_Public_Libraries_in_England_2016_to_2021.pdf</w:t>
      </w:r>
      <w:r w:rsidR="00547579">
        <w:fldChar w:fldCharType="end"/>
      </w:r>
    </w:p>
    <w:sectPr w:rsidR="00547579" w:rsidSect="00D33B53">
      <w:footerReference w:type="default" r:id="rId1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0F" w:rsidRDefault="005D030F" w:rsidP="00F26022">
      <w:pPr>
        <w:spacing w:after="0" w:line="240" w:lineRule="auto"/>
      </w:pPr>
      <w:r>
        <w:separator/>
      </w:r>
    </w:p>
  </w:endnote>
  <w:endnote w:type="continuationSeparator" w:id="0">
    <w:p w:rsidR="005D030F" w:rsidRDefault="005D030F" w:rsidP="00F2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B53" w:rsidRDefault="00D33B53" w:rsidP="00D33B53">
    <w:pPr>
      <w:pStyle w:val="Encabezado"/>
    </w:pPr>
  </w:p>
  <w:p w:rsidR="00D33B53" w:rsidRDefault="00D33B53" w:rsidP="00D33B53">
    <w:pPr>
      <w:pStyle w:val="Encabezado"/>
    </w:pPr>
    <w:r>
      <w:t xml:space="preserve">Gómez-Hernández, José-Antonio (2017). De supervivientes a empoderadas: reforzar la biblioteca social. Conferencia en las XIX Jornadas bibliotecarias de Andalucía. Huelva, 20 y 21 de octubre de 2017. </w:t>
    </w:r>
    <w:r>
      <w:rPr>
        <w:i/>
      </w:rPr>
      <w:t>Boletín de la Asociación Andaluza de Bibliotecarios</w:t>
    </w:r>
    <w:r>
      <w:t>, 113 (pre-print)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0F" w:rsidRDefault="005D030F" w:rsidP="00F26022">
      <w:pPr>
        <w:spacing w:after="0" w:line="240" w:lineRule="auto"/>
      </w:pPr>
      <w:r>
        <w:separator/>
      </w:r>
    </w:p>
  </w:footnote>
  <w:footnote w:type="continuationSeparator" w:id="0">
    <w:p w:rsidR="005D030F" w:rsidRDefault="005D030F" w:rsidP="00F26022">
      <w:pPr>
        <w:spacing w:after="0" w:line="240" w:lineRule="auto"/>
      </w:pPr>
      <w:r>
        <w:continuationSeparator/>
      </w:r>
    </w:p>
  </w:footnote>
  <w:footnote w:id="1">
    <w:p w:rsidR="007A7BA4" w:rsidRDefault="007A7BA4">
      <w:pPr>
        <w:pStyle w:val="Textonotapie"/>
      </w:pPr>
      <w:r>
        <w:rPr>
          <w:rStyle w:val="Refdenotaalpie"/>
        </w:rPr>
        <w:footnoteRef/>
      </w:r>
      <w:r>
        <w:t xml:space="preserve"> </w:t>
      </w:r>
      <w:r w:rsidRPr="001B7480">
        <w:rPr>
          <w:i/>
        </w:rPr>
        <w:t>El cielo sobre Berlín. Escena en la biblioteca</w:t>
      </w:r>
      <w:r>
        <w:t xml:space="preserve">. </w:t>
      </w:r>
      <w:hyperlink r:id="rId1" w:history="1">
        <w:r w:rsidRPr="00A164E9">
          <w:rPr>
            <w:rStyle w:val="Hipervnculo"/>
          </w:rPr>
          <w:t>https://www.youtube.com/watch?v=NRyQCacxkA8</w:t>
        </w:r>
      </w:hyperlink>
      <w:r>
        <w:t xml:space="preserve">   </w:t>
      </w:r>
    </w:p>
  </w:footnote>
  <w:footnote w:id="2">
    <w:p w:rsidR="007A7BA4" w:rsidRDefault="007A7BA4">
      <w:pPr>
        <w:pStyle w:val="Textonotapie"/>
      </w:pPr>
      <w:r>
        <w:rPr>
          <w:rStyle w:val="Refdenotaalpie"/>
        </w:rPr>
        <w:footnoteRef/>
      </w:r>
      <w:r>
        <w:t xml:space="preserve"> </w:t>
      </w:r>
      <w:r w:rsidRPr="00FC2190">
        <w:rPr>
          <w:i/>
        </w:rPr>
        <w:t>Los Simpson. El recorrido histórico de Marge</w:t>
      </w:r>
      <w:r>
        <w:t xml:space="preserve">. </w:t>
      </w:r>
      <w:hyperlink r:id="rId2" w:history="1">
        <w:r w:rsidRPr="00A164E9">
          <w:rPr>
            <w:rStyle w:val="Hipervnculo"/>
          </w:rPr>
          <w:t>https://vialogues.com/vialogues/play/23285</w:t>
        </w:r>
      </w:hyperlink>
      <w:r>
        <w:t xml:space="preserve"> </w:t>
      </w:r>
    </w:p>
  </w:footnote>
  <w:footnote w:id="3">
    <w:p w:rsidR="007A7BA4" w:rsidRDefault="007A7BA4">
      <w:pPr>
        <w:pStyle w:val="Textonotapie"/>
      </w:pPr>
      <w:r>
        <w:rPr>
          <w:rStyle w:val="Refdenotaalpie"/>
        </w:rPr>
        <w:footnoteRef/>
      </w:r>
      <w:r>
        <w:t xml:space="preserve"> </w:t>
      </w:r>
      <w:r w:rsidRPr="00FC2190">
        <w:rPr>
          <w:i/>
        </w:rPr>
        <w:t>Yo, Daniel Blake</w:t>
      </w:r>
      <w:r>
        <w:t xml:space="preserve">, escena en la biblioteca: </w:t>
      </w:r>
      <w:hyperlink r:id="rId3" w:history="1">
        <w:r w:rsidRPr="00A164E9">
          <w:rPr>
            <w:rStyle w:val="Hipervnculo"/>
          </w:rPr>
          <w:t>https://www.youtube.com/watch?v=pXiAxkEEUjM</w:t>
        </w:r>
      </w:hyperlink>
      <w:r>
        <w:t xml:space="preserve"> </w:t>
      </w:r>
    </w:p>
  </w:footnote>
  <w:footnote w:id="4">
    <w:p w:rsidR="007A7BA4" w:rsidRDefault="007A7BA4">
      <w:pPr>
        <w:pStyle w:val="Textonotapie"/>
      </w:pPr>
      <w:r>
        <w:rPr>
          <w:rStyle w:val="Refdenotaalpie"/>
        </w:rPr>
        <w:footnoteRef/>
      </w:r>
      <w:r>
        <w:t xml:space="preserve"> </w:t>
      </w:r>
      <w:r w:rsidRPr="00F26022">
        <w:t>Save your local! Should volunteers help keep our public libraries open</w:t>
      </w:r>
      <w:r>
        <w:t xml:space="preserve">? </w:t>
      </w:r>
      <w:r w:rsidRPr="00F26022">
        <w:rPr>
          <w:i/>
        </w:rPr>
        <w:t>The Guardian</w:t>
      </w:r>
      <w:r>
        <w:t xml:space="preserve">, 8 de agosto de 2017, </w:t>
      </w:r>
      <w:hyperlink r:id="rId4" w:history="1">
        <w:r w:rsidRPr="00F84C32">
          <w:rPr>
            <w:rStyle w:val="Hipervnculo"/>
          </w:rPr>
          <w:t>https://www.theguardian.com/books/2017/aug/08/public-libraries-at-the-crossroads-should-volunteers-be-keeping-them-open</w:t>
        </w:r>
      </w:hyperlink>
      <w:r>
        <w:t xml:space="preserve"> </w:t>
      </w:r>
    </w:p>
  </w:footnote>
  <w:footnote w:id="5">
    <w:p w:rsidR="007A7BA4" w:rsidRDefault="007A7BA4">
      <w:pPr>
        <w:pStyle w:val="Textonotapie"/>
      </w:pPr>
      <w:r>
        <w:rPr>
          <w:rStyle w:val="Refdenotaalpie"/>
        </w:rPr>
        <w:footnoteRef/>
      </w:r>
      <w:r>
        <w:t xml:space="preserve"> </w:t>
      </w:r>
      <w:hyperlink r:id="rId5" w:history="1">
        <w:r w:rsidRPr="00A164E9">
          <w:rPr>
            <w:rStyle w:val="Hipervnculo"/>
          </w:rPr>
          <w:t>http://fomentodelalectura.mecd.gob.es/inicio.html</w:t>
        </w:r>
      </w:hyperlink>
      <w:r>
        <w:t xml:space="preserve">  </w:t>
      </w:r>
    </w:p>
  </w:footnote>
  <w:footnote w:id="6">
    <w:p w:rsidR="007A7BA4" w:rsidRDefault="007A7BA4">
      <w:pPr>
        <w:pStyle w:val="Textonotapie"/>
      </w:pPr>
      <w:r>
        <w:rPr>
          <w:rStyle w:val="Refdenotaalpie"/>
        </w:rPr>
        <w:footnoteRef/>
      </w:r>
      <w:r>
        <w:t xml:space="preserve"> </w:t>
      </w:r>
      <w:hyperlink r:id="rId6" w:history="1">
        <w:r w:rsidRPr="00A164E9">
          <w:rPr>
            <w:rStyle w:val="Hipervnculo"/>
          </w:rPr>
          <w:t>http://www.laverdad.es/murcia/encima-destinara-millones-20171004134244-nt.html</w:t>
        </w:r>
      </w:hyperlink>
      <w:r>
        <w:t xml:space="preserve"> </w:t>
      </w:r>
    </w:p>
  </w:footnote>
  <w:footnote w:id="7">
    <w:p w:rsidR="007A7BA4" w:rsidRDefault="007A7BA4">
      <w:pPr>
        <w:pStyle w:val="Textonotapie"/>
      </w:pPr>
      <w:r>
        <w:rPr>
          <w:rStyle w:val="Refdenotaalpie"/>
        </w:rPr>
        <w:footnoteRef/>
      </w:r>
      <w:r>
        <w:t xml:space="preserve"> Llovet, J. Les biblioteques pervertides. </w:t>
      </w:r>
      <w:r w:rsidRPr="008B43F3">
        <w:rPr>
          <w:i/>
        </w:rPr>
        <w:t>El País</w:t>
      </w:r>
      <w:r>
        <w:t xml:space="preserve"> (edición Catalunya), 8 de septiembre de 2017 </w:t>
      </w:r>
      <w:hyperlink r:id="rId7" w:history="1">
        <w:r w:rsidRPr="0007732B">
          <w:rPr>
            <w:rStyle w:val="Hipervnculo"/>
          </w:rPr>
          <w:t>https://cat.elpais.com/cat/2017/09/07/cultura/1504812649_382936.html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30322"/>
    <w:multiLevelType w:val="hybridMultilevel"/>
    <w:tmpl w:val="C55CE430"/>
    <w:lvl w:ilvl="0" w:tplc="88A6C660">
      <w:start w:val="147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9346C8"/>
    <w:multiLevelType w:val="hybridMultilevel"/>
    <w:tmpl w:val="742E765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 w15:restartNumberingAfterBreak="0">
    <w:nsid w:val="63BA33F4"/>
    <w:multiLevelType w:val="hybridMultilevel"/>
    <w:tmpl w:val="C0DE9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9285F33"/>
    <w:multiLevelType w:val="hybridMultilevel"/>
    <w:tmpl w:val="E8FCA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7D54C7"/>
    <w:multiLevelType w:val="hybridMultilevel"/>
    <w:tmpl w:val="30847F36"/>
    <w:lvl w:ilvl="0" w:tplc="0C0A0001">
      <w:start w:val="1"/>
      <w:numFmt w:val="bullet"/>
      <w:lvlText w:val=""/>
      <w:lvlJc w:val="left"/>
      <w:pPr>
        <w:ind w:left="720" w:hanging="360"/>
      </w:pPr>
      <w:rPr>
        <w:rFonts w:ascii="Symbol" w:hAnsi="Symbol" w:hint="default"/>
      </w:rPr>
    </w:lvl>
    <w:lvl w:ilvl="1" w:tplc="D7C06448">
      <w:numFmt w:val="bullet"/>
      <w:lvlText w:val="•"/>
      <w:lvlJc w:val="left"/>
      <w:pPr>
        <w:ind w:left="1790" w:hanging="71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4F2E07"/>
    <w:multiLevelType w:val="hybridMultilevel"/>
    <w:tmpl w:val="DBA270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6A"/>
    <w:rsid w:val="00002DA0"/>
    <w:rsid w:val="0000620A"/>
    <w:rsid w:val="00010E1F"/>
    <w:rsid w:val="00016B23"/>
    <w:rsid w:val="00020A7B"/>
    <w:rsid w:val="00022191"/>
    <w:rsid w:val="0002263C"/>
    <w:rsid w:val="00054A94"/>
    <w:rsid w:val="00056180"/>
    <w:rsid w:val="00080627"/>
    <w:rsid w:val="00084E6A"/>
    <w:rsid w:val="000A406B"/>
    <w:rsid w:val="000E0391"/>
    <w:rsid w:val="000E2319"/>
    <w:rsid w:val="000F4B47"/>
    <w:rsid w:val="00100738"/>
    <w:rsid w:val="00117F96"/>
    <w:rsid w:val="0017631E"/>
    <w:rsid w:val="001832A5"/>
    <w:rsid w:val="001859D2"/>
    <w:rsid w:val="001877C9"/>
    <w:rsid w:val="00195B40"/>
    <w:rsid w:val="0019641B"/>
    <w:rsid w:val="001A4058"/>
    <w:rsid w:val="001B0976"/>
    <w:rsid w:val="001B24CB"/>
    <w:rsid w:val="001B70FE"/>
    <w:rsid w:val="001B7480"/>
    <w:rsid w:val="001B7CF0"/>
    <w:rsid w:val="001D3137"/>
    <w:rsid w:val="001F7B3A"/>
    <w:rsid w:val="00212C09"/>
    <w:rsid w:val="00264D76"/>
    <w:rsid w:val="00273031"/>
    <w:rsid w:val="002A0241"/>
    <w:rsid w:val="002A75DE"/>
    <w:rsid w:val="002B0388"/>
    <w:rsid w:val="002C01C3"/>
    <w:rsid w:val="002C18BF"/>
    <w:rsid w:val="002C406C"/>
    <w:rsid w:val="002C5349"/>
    <w:rsid w:val="002F3DF5"/>
    <w:rsid w:val="002F618D"/>
    <w:rsid w:val="00323781"/>
    <w:rsid w:val="00331F6D"/>
    <w:rsid w:val="0033639C"/>
    <w:rsid w:val="00336613"/>
    <w:rsid w:val="00346D0D"/>
    <w:rsid w:val="00350B08"/>
    <w:rsid w:val="00375021"/>
    <w:rsid w:val="003761E7"/>
    <w:rsid w:val="00377374"/>
    <w:rsid w:val="003814EB"/>
    <w:rsid w:val="00381D5E"/>
    <w:rsid w:val="003E1523"/>
    <w:rsid w:val="003E3647"/>
    <w:rsid w:val="003F1024"/>
    <w:rsid w:val="0040695F"/>
    <w:rsid w:val="004224B7"/>
    <w:rsid w:val="00432066"/>
    <w:rsid w:val="004410D4"/>
    <w:rsid w:val="00443E1A"/>
    <w:rsid w:val="00444FA5"/>
    <w:rsid w:val="00482879"/>
    <w:rsid w:val="004909DA"/>
    <w:rsid w:val="0049199A"/>
    <w:rsid w:val="004E209F"/>
    <w:rsid w:val="004E2804"/>
    <w:rsid w:val="004E2B8E"/>
    <w:rsid w:val="00501D17"/>
    <w:rsid w:val="00505657"/>
    <w:rsid w:val="00506006"/>
    <w:rsid w:val="00531C26"/>
    <w:rsid w:val="00547579"/>
    <w:rsid w:val="005638A0"/>
    <w:rsid w:val="005A4436"/>
    <w:rsid w:val="005A462D"/>
    <w:rsid w:val="005A611E"/>
    <w:rsid w:val="005B7BC9"/>
    <w:rsid w:val="005D030F"/>
    <w:rsid w:val="006365D5"/>
    <w:rsid w:val="00640427"/>
    <w:rsid w:val="0064575C"/>
    <w:rsid w:val="00651AC7"/>
    <w:rsid w:val="00654654"/>
    <w:rsid w:val="0069617B"/>
    <w:rsid w:val="006C016A"/>
    <w:rsid w:val="006C2155"/>
    <w:rsid w:val="006D63B5"/>
    <w:rsid w:val="006E0F03"/>
    <w:rsid w:val="00723D86"/>
    <w:rsid w:val="007334DB"/>
    <w:rsid w:val="00741682"/>
    <w:rsid w:val="00780956"/>
    <w:rsid w:val="0079540B"/>
    <w:rsid w:val="007A3622"/>
    <w:rsid w:val="007A7BA4"/>
    <w:rsid w:val="007B2151"/>
    <w:rsid w:val="007D45E9"/>
    <w:rsid w:val="007D6E28"/>
    <w:rsid w:val="007F4770"/>
    <w:rsid w:val="00804DC9"/>
    <w:rsid w:val="00813929"/>
    <w:rsid w:val="00816939"/>
    <w:rsid w:val="0083423D"/>
    <w:rsid w:val="008638A8"/>
    <w:rsid w:val="00891206"/>
    <w:rsid w:val="00896FF7"/>
    <w:rsid w:val="008A5C2A"/>
    <w:rsid w:val="008B43F3"/>
    <w:rsid w:val="008C5E4B"/>
    <w:rsid w:val="008D1BC6"/>
    <w:rsid w:val="008F49F8"/>
    <w:rsid w:val="00902171"/>
    <w:rsid w:val="0090410C"/>
    <w:rsid w:val="00906BF9"/>
    <w:rsid w:val="009110A9"/>
    <w:rsid w:val="009506B4"/>
    <w:rsid w:val="00955F80"/>
    <w:rsid w:val="009947E1"/>
    <w:rsid w:val="0099668D"/>
    <w:rsid w:val="009B1CED"/>
    <w:rsid w:val="009B5209"/>
    <w:rsid w:val="009D46B9"/>
    <w:rsid w:val="009D7023"/>
    <w:rsid w:val="009E6F0C"/>
    <w:rsid w:val="009F2E61"/>
    <w:rsid w:val="00A11E8F"/>
    <w:rsid w:val="00A22C20"/>
    <w:rsid w:val="00A25BDB"/>
    <w:rsid w:val="00A41AFE"/>
    <w:rsid w:val="00A43473"/>
    <w:rsid w:val="00A5287C"/>
    <w:rsid w:val="00AA05ED"/>
    <w:rsid w:val="00AB0F3C"/>
    <w:rsid w:val="00AB648D"/>
    <w:rsid w:val="00AB71D4"/>
    <w:rsid w:val="00AB7928"/>
    <w:rsid w:val="00AF4313"/>
    <w:rsid w:val="00B2601D"/>
    <w:rsid w:val="00B454BE"/>
    <w:rsid w:val="00B4753E"/>
    <w:rsid w:val="00B756FC"/>
    <w:rsid w:val="00B82241"/>
    <w:rsid w:val="00B909D3"/>
    <w:rsid w:val="00BB6329"/>
    <w:rsid w:val="00BC1C0D"/>
    <w:rsid w:val="00BC6EDF"/>
    <w:rsid w:val="00BC7F8B"/>
    <w:rsid w:val="00BD328A"/>
    <w:rsid w:val="00BF06AC"/>
    <w:rsid w:val="00C0033D"/>
    <w:rsid w:val="00C01D44"/>
    <w:rsid w:val="00C03502"/>
    <w:rsid w:val="00C34270"/>
    <w:rsid w:val="00C57480"/>
    <w:rsid w:val="00C85C7D"/>
    <w:rsid w:val="00C86C4B"/>
    <w:rsid w:val="00C91AAA"/>
    <w:rsid w:val="00CB68E7"/>
    <w:rsid w:val="00CE4D2A"/>
    <w:rsid w:val="00D14A3D"/>
    <w:rsid w:val="00D15406"/>
    <w:rsid w:val="00D33B53"/>
    <w:rsid w:val="00D353A6"/>
    <w:rsid w:val="00D36F28"/>
    <w:rsid w:val="00D62062"/>
    <w:rsid w:val="00DD1254"/>
    <w:rsid w:val="00DD719E"/>
    <w:rsid w:val="00DE4B78"/>
    <w:rsid w:val="00DE6DDB"/>
    <w:rsid w:val="00E15E5B"/>
    <w:rsid w:val="00E53B08"/>
    <w:rsid w:val="00E610D7"/>
    <w:rsid w:val="00E75A2D"/>
    <w:rsid w:val="00E77CCF"/>
    <w:rsid w:val="00E81A04"/>
    <w:rsid w:val="00E95D8B"/>
    <w:rsid w:val="00EA049B"/>
    <w:rsid w:val="00EA2E33"/>
    <w:rsid w:val="00EA455A"/>
    <w:rsid w:val="00EC2148"/>
    <w:rsid w:val="00EE085E"/>
    <w:rsid w:val="00F26022"/>
    <w:rsid w:val="00F479B0"/>
    <w:rsid w:val="00F5026C"/>
    <w:rsid w:val="00F562D5"/>
    <w:rsid w:val="00FA7687"/>
    <w:rsid w:val="00FB0B7D"/>
    <w:rsid w:val="00FB2B25"/>
    <w:rsid w:val="00FC2190"/>
    <w:rsid w:val="00FE7794"/>
    <w:rsid w:val="00FE7F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9FCA"/>
  <w15:chartTrackingRefBased/>
  <w15:docId w15:val="{16EADCE3-7BBE-4936-98C5-40BA4B90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6AC"/>
  </w:style>
  <w:style w:type="paragraph" w:styleId="Ttulo1">
    <w:name w:val="heading 1"/>
    <w:basedOn w:val="Normal"/>
    <w:next w:val="Normal"/>
    <w:link w:val="Ttulo1Car"/>
    <w:uiPriority w:val="9"/>
    <w:qFormat/>
    <w:rsid w:val="00955F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16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F80"/>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EA45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55A"/>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DD71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859D2"/>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F260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6022"/>
    <w:rPr>
      <w:sz w:val="20"/>
      <w:szCs w:val="20"/>
    </w:rPr>
  </w:style>
  <w:style w:type="character" w:styleId="Refdenotaalpie">
    <w:name w:val="footnote reference"/>
    <w:basedOn w:val="Fuentedeprrafopredeter"/>
    <w:uiPriority w:val="99"/>
    <w:semiHidden/>
    <w:unhideWhenUsed/>
    <w:rsid w:val="00F26022"/>
    <w:rPr>
      <w:vertAlign w:val="superscript"/>
    </w:rPr>
  </w:style>
  <w:style w:type="character" w:styleId="Hipervnculo">
    <w:name w:val="Hyperlink"/>
    <w:basedOn w:val="Fuentedeprrafopredeter"/>
    <w:uiPriority w:val="99"/>
    <w:unhideWhenUsed/>
    <w:rsid w:val="00F26022"/>
    <w:rPr>
      <w:color w:val="0563C1" w:themeColor="hyperlink"/>
      <w:u w:val="single"/>
    </w:rPr>
  </w:style>
  <w:style w:type="character" w:customStyle="1" w:styleId="Ttulo2Car">
    <w:name w:val="Título 2 Car"/>
    <w:basedOn w:val="Fuentedeprrafopredeter"/>
    <w:link w:val="Ttulo2"/>
    <w:uiPriority w:val="9"/>
    <w:rsid w:val="00816939"/>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80627"/>
    <w:pPr>
      <w:ind w:left="720"/>
      <w:contextualSpacing/>
    </w:pPr>
  </w:style>
  <w:style w:type="paragraph" w:styleId="Encabezado">
    <w:name w:val="header"/>
    <w:basedOn w:val="Normal"/>
    <w:link w:val="EncabezadoCar"/>
    <w:uiPriority w:val="99"/>
    <w:unhideWhenUsed/>
    <w:rsid w:val="000E23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319"/>
  </w:style>
  <w:style w:type="paragraph" w:styleId="Piedepgina">
    <w:name w:val="footer"/>
    <w:basedOn w:val="Normal"/>
    <w:link w:val="PiedepginaCar"/>
    <w:uiPriority w:val="99"/>
    <w:unhideWhenUsed/>
    <w:rsid w:val="000E23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254">
      <w:bodyDiv w:val="1"/>
      <w:marLeft w:val="0"/>
      <w:marRight w:val="0"/>
      <w:marTop w:val="0"/>
      <w:marBottom w:val="0"/>
      <w:divBdr>
        <w:top w:val="none" w:sz="0" w:space="0" w:color="auto"/>
        <w:left w:val="none" w:sz="0" w:space="0" w:color="auto"/>
        <w:bottom w:val="none" w:sz="0" w:space="0" w:color="auto"/>
        <w:right w:val="none" w:sz="0" w:space="0" w:color="auto"/>
      </w:divBdr>
    </w:div>
    <w:div w:id="160703685">
      <w:bodyDiv w:val="1"/>
      <w:marLeft w:val="0"/>
      <w:marRight w:val="0"/>
      <w:marTop w:val="0"/>
      <w:marBottom w:val="0"/>
      <w:divBdr>
        <w:top w:val="none" w:sz="0" w:space="0" w:color="auto"/>
        <w:left w:val="none" w:sz="0" w:space="0" w:color="auto"/>
        <w:bottom w:val="none" w:sz="0" w:space="0" w:color="auto"/>
        <w:right w:val="none" w:sz="0" w:space="0" w:color="auto"/>
      </w:divBdr>
    </w:div>
    <w:div w:id="343946271">
      <w:bodyDiv w:val="1"/>
      <w:marLeft w:val="0"/>
      <w:marRight w:val="0"/>
      <w:marTop w:val="0"/>
      <w:marBottom w:val="0"/>
      <w:divBdr>
        <w:top w:val="none" w:sz="0" w:space="0" w:color="auto"/>
        <w:left w:val="none" w:sz="0" w:space="0" w:color="auto"/>
        <w:bottom w:val="none" w:sz="0" w:space="0" w:color="auto"/>
        <w:right w:val="none" w:sz="0" w:space="0" w:color="auto"/>
      </w:divBdr>
    </w:div>
    <w:div w:id="494805576">
      <w:bodyDiv w:val="1"/>
      <w:marLeft w:val="0"/>
      <w:marRight w:val="0"/>
      <w:marTop w:val="0"/>
      <w:marBottom w:val="0"/>
      <w:divBdr>
        <w:top w:val="none" w:sz="0" w:space="0" w:color="auto"/>
        <w:left w:val="none" w:sz="0" w:space="0" w:color="auto"/>
        <w:bottom w:val="none" w:sz="0" w:space="0" w:color="auto"/>
        <w:right w:val="none" w:sz="0" w:space="0" w:color="auto"/>
      </w:divBdr>
    </w:div>
    <w:div w:id="1003971691">
      <w:bodyDiv w:val="1"/>
      <w:marLeft w:val="0"/>
      <w:marRight w:val="0"/>
      <w:marTop w:val="0"/>
      <w:marBottom w:val="0"/>
      <w:divBdr>
        <w:top w:val="none" w:sz="0" w:space="0" w:color="auto"/>
        <w:left w:val="none" w:sz="0" w:space="0" w:color="auto"/>
        <w:bottom w:val="none" w:sz="0" w:space="0" w:color="auto"/>
        <w:right w:val="none" w:sz="0" w:space="0" w:color="auto"/>
      </w:divBdr>
    </w:div>
    <w:div w:id="16324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pXiAxkEEUjM" TargetMode="External"/><Relationship Id="rId7" Type="http://schemas.openxmlformats.org/officeDocument/2006/relationships/hyperlink" Target="https://cat.elpais.com/cat/2017/09/07/cultura/1504812649_382936.html" TargetMode="External"/><Relationship Id="rId2" Type="http://schemas.openxmlformats.org/officeDocument/2006/relationships/hyperlink" Target="https://vialogues.com/vialogues/play/23285" TargetMode="External"/><Relationship Id="rId1" Type="http://schemas.openxmlformats.org/officeDocument/2006/relationships/hyperlink" Target="https://www.youtube.com/watch?v=NRyQCacxkA8" TargetMode="External"/><Relationship Id="rId6" Type="http://schemas.openxmlformats.org/officeDocument/2006/relationships/hyperlink" Target="http://www.laverdad.es/murcia/encima-destinara-millones-20171004134244-nt.html" TargetMode="External"/><Relationship Id="rId5" Type="http://schemas.openxmlformats.org/officeDocument/2006/relationships/hyperlink" Target="http://fomentodelalectura.mecd.gob.es/inicio.html" TargetMode="External"/><Relationship Id="rId4" Type="http://schemas.openxmlformats.org/officeDocument/2006/relationships/hyperlink" Target="https://www.theguardian.com/books/2017/aug/08/public-libraries-at-the-crossroads-should-volunteers-be-keeping-them-op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1.9366131865095809E-2"/>
          <c:y val="0.15148374971647061"/>
          <c:w val="0.96126760563380298"/>
          <c:h val="0.61524001517882498"/>
        </c:manualLayout>
      </c:layout>
      <c:barChart>
        <c:barDir val="col"/>
        <c:grouping val="clustered"/>
        <c:varyColors val="0"/>
        <c:ser>
          <c:idx val="0"/>
          <c:order val="0"/>
          <c:invertIfNegative val="0"/>
          <c:dLbls>
            <c:dLbl>
              <c:idx val="0"/>
              <c:tx>
                <c:rich>
                  <a:bodyPr/>
                  <a:lstStyle/>
                  <a:p>
                    <a:r>
                      <a:rPr lang="en-US"/>
                      <a:t>Cataluña, 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7D-4233-A7FF-E56BD808DAD2}"/>
                </c:ext>
              </c:extLst>
            </c:dLbl>
            <c:dLbl>
              <c:idx val="1"/>
              <c:tx>
                <c:rich>
                  <a:bodyPr/>
                  <a:lstStyle/>
                  <a:p>
                    <a:r>
                      <a:rPr lang="en-US"/>
                      <a:t>Madrid, 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7D-4233-A7FF-E56BD808DAD2}"/>
                </c:ext>
              </c:extLst>
            </c:dLbl>
            <c:dLbl>
              <c:idx val="2"/>
              <c:tx>
                <c:rich>
                  <a:bodyPr/>
                  <a:lstStyle/>
                  <a:p>
                    <a:r>
                      <a:rPr lang="en-US"/>
                      <a:t>Cantabria, 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7D-4233-A7FF-E56BD808DAD2}"/>
                </c:ext>
              </c:extLst>
            </c:dLbl>
            <c:dLbl>
              <c:idx val="3"/>
              <c:tx>
                <c:rich>
                  <a:bodyPr/>
                  <a:lstStyle/>
                  <a:p>
                    <a:r>
                      <a:rPr lang="en-US"/>
                      <a:t>Galicia, 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7D-4233-A7FF-E56BD808DAD2}"/>
                </c:ext>
              </c:extLst>
            </c:dLbl>
            <c:dLbl>
              <c:idx val="4"/>
              <c:tx>
                <c:rich>
                  <a:bodyPr/>
                  <a:lstStyle/>
                  <a:p>
                    <a:r>
                      <a:rPr lang="en-US"/>
                      <a:t>Navarra, 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7D-4233-A7FF-E56BD808DAD2}"/>
                </c:ext>
              </c:extLst>
            </c:dLbl>
            <c:dLbl>
              <c:idx val="5"/>
              <c:tx>
                <c:rich>
                  <a:bodyPr/>
                  <a:lstStyle/>
                  <a:p>
                    <a:r>
                      <a:rPr lang="en-US"/>
                      <a:t>La Rioja, 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7D-4233-A7FF-E56BD808DAD2}"/>
                </c:ext>
              </c:extLst>
            </c:dLbl>
            <c:dLbl>
              <c:idx val="6"/>
              <c:tx>
                <c:rich>
                  <a:bodyPr/>
                  <a:lstStyle/>
                  <a:p>
                    <a:r>
                      <a:rPr lang="en-US"/>
                      <a:t>Murcia, 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7D-4233-A7FF-E56BD808DAD2}"/>
                </c:ext>
              </c:extLst>
            </c:dLbl>
            <c:dLbl>
              <c:idx val="7"/>
              <c:tx>
                <c:rich>
                  <a:bodyPr/>
                  <a:lstStyle/>
                  <a:p>
                    <a:r>
                      <a:rPr lang="en-US"/>
                      <a:t>Castilla y León, -1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7D-4233-A7FF-E56BD808DAD2}"/>
                </c:ext>
              </c:extLst>
            </c:dLbl>
            <c:dLbl>
              <c:idx val="8"/>
              <c:tx>
                <c:rich>
                  <a:bodyPr/>
                  <a:lstStyle/>
                  <a:p>
                    <a:r>
                      <a:rPr lang="en-US"/>
                      <a:t>País Vasco, -1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7D-4233-A7FF-E56BD808DAD2}"/>
                </c:ext>
              </c:extLst>
            </c:dLbl>
            <c:dLbl>
              <c:idx val="9"/>
              <c:tx>
                <c:rich>
                  <a:bodyPr/>
                  <a:lstStyle/>
                  <a:p>
                    <a:r>
                      <a:rPr lang="en-US"/>
                      <a:t>Asturias, -2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7D-4233-A7FF-E56BD808DAD2}"/>
                </c:ext>
              </c:extLst>
            </c:dLbl>
            <c:dLbl>
              <c:idx val="10"/>
              <c:tx>
                <c:rich>
                  <a:bodyPr/>
                  <a:lstStyle/>
                  <a:p>
                    <a:r>
                      <a:rPr lang="en-US"/>
                      <a:t>Baleares, -6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7D-4233-A7FF-E56BD808DAD2}"/>
                </c:ext>
              </c:extLst>
            </c:dLbl>
            <c:dLbl>
              <c:idx val="11"/>
              <c:tx>
                <c:rich>
                  <a:bodyPr/>
                  <a:lstStyle/>
                  <a:p>
                    <a:r>
                      <a:rPr lang="en-US"/>
                      <a:t>Andalucía, -7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67D-4233-A7FF-E56BD808DAD2}"/>
                </c:ext>
              </c:extLst>
            </c:dLbl>
            <c:dLbl>
              <c:idx val="12"/>
              <c:tx>
                <c:rich>
                  <a:bodyPr/>
                  <a:lstStyle/>
                  <a:p>
                    <a:r>
                      <a:rPr lang="en-US"/>
                      <a:t>Canarias, -11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67D-4233-A7FF-E56BD808DAD2}"/>
                </c:ext>
              </c:extLst>
            </c:dLbl>
            <c:dLbl>
              <c:idx val="13"/>
              <c:tx>
                <c:rich>
                  <a:bodyPr/>
                  <a:lstStyle/>
                  <a:p>
                    <a:r>
                      <a:rPr lang="en-US"/>
                      <a:t>Aragón, -13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7D-4233-A7FF-E56BD808DAD2}"/>
                </c:ext>
              </c:extLst>
            </c:dLbl>
            <c:dLbl>
              <c:idx val="14"/>
              <c:layout>
                <c:manualLayout>
                  <c:x val="-0.11528822055137854"/>
                  <c:y val="2.0582612358640354E-3"/>
                </c:manualLayout>
              </c:layout>
              <c:tx>
                <c:rich>
                  <a:bodyPr/>
                  <a:lstStyle/>
                  <a:p>
                    <a:pPr>
                      <a:defRPr/>
                    </a:pPr>
                    <a:r>
                      <a:rPr lang="en-US" sz="900"/>
                      <a:t>CastillaMancha, -57</a:t>
                    </a:r>
                  </a:p>
                </c:rich>
              </c:tx>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4542596649103074"/>
                      <c:h val="6.7530864197530863E-2"/>
                    </c:manualLayout>
                  </c15:layout>
                </c:ext>
                <c:ext xmlns:c16="http://schemas.microsoft.com/office/drawing/2014/chart" uri="{C3380CC4-5D6E-409C-BE32-E72D297353CC}">
                  <c16:uniqueId val="{0000000E-767D-4233-A7FF-E56BD808DAD2}"/>
                </c:ext>
              </c:extLst>
            </c:dLbl>
            <c:dLbl>
              <c:idx val="15"/>
              <c:layout>
                <c:manualLayout>
                  <c:x val="-4.7619047619047714E-2"/>
                  <c:y val="-6.5843297365606929E-2"/>
                </c:manualLayout>
              </c:layout>
              <c:tx>
                <c:rich>
                  <a:bodyPr/>
                  <a:lstStyle/>
                  <a:p>
                    <a:pPr>
                      <a:defRPr/>
                    </a:pPr>
                    <a:r>
                      <a:rPr lang="en-US" sz="900"/>
                      <a:t>Valencia, -57</a:t>
                    </a:r>
                  </a:p>
                </c:rich>
              </c:tx>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767D-4233-A7FF-E56BD808DAD2}"/>
                </c:ext>
              </c:extLst>
            </c:dLbl>
            <c:dLbl>
              <c:idx val="16"/>
              <c:layout>
                <c:manualLayout>
                  <c:x val="-1.5037593984962405E-2"/>
                  <c:y val="-8.6419753086419596E-2"/>
                </c:manualLayout>
              </c:layout>
              <c:tx>
                <c:rich>
                  <a:bodyPr/>
                  <a:lstStyle/>
                  <a:p>
                    <a:pPr>
                      <a:defRPr/>
                    </a:pPr>
                    <a:r>
                      <a:rPr lang="en-US" sz="900"/>
                      <a:t>Extremadura, -64</a:t>
                    </a:r>
                  </a:p>
                </c:rich>
              </c:tx>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767D-4233-A7FF-E56BD808DAD2}"/>
                </c:ext>
              </c:extLst>
            </c:dLbl>
            <c:spPr>
              <a:noFill/>
              <a:ln>
                <a:noFill/>
              </a:ln>
              <a:effectLst/>
            </c:spPr>
            <c:txPr>
              <a:bodyPr rot="-5400000" vert="horz"/>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[Tablas_JAG160818.xlsx]UA_MECD!$A$4:$A$20</c:f>
              <c:strCache>
                <c:ptCount val="17"/>
                <c:pt idx="0">
                  <c:v>Cataluña</c:v>
                </c:pt>
                <c:pt idx="1">
                  <c:v>Comunidad de Madrid</c:v>
                </c:pt>
                <c:pt idx="2">
                  <c:v>Cantabria</c:v>
                </c:pt>
                <c:pt idx="3">
                  <c:v>Galicia</c:v>
                </c:pt>
                <c:pt idx="4">
                  <c:v>Comunidad Foral de Navarra</c:v>
                </c:pt>
                <c:pt idx="5">
                  <c:v>La Rioja</c:v>
                </c:pt>
                <c:pt idx="6">
                  <c:v>Región de Murcia</c:v>
                </c:pt>
                <c:pt idx="7">
                  <c:v>Castilla y León</c:v>
                </c:pt>
                <c:pt idx="8">
                  <c:v>País Vasco</c:v>
                </c:pt>
                <c:pt idx="9">
                  <c:v>Principado de Asturias</c:v>
                </c:pt>
                <c:pt idx="10">
                  <c:v>Illes Balears</c:v>
                </c:pt>
                <c:pt idx="11">
                  <c:v>Andalucía</c:v>
                </c:pt>
                <c:pt idx="12">
                  <c:v>Canarias</c:v>
                </c:pt>
                <c:pt idx="13">
                  <c:v>Aragón</c:v>
                </c:pt>
                <c:pt idx="14">
                  <c:v>Castilla-La Mancha</c:v>
                </c:pt>
                <c:pt idx="15">
                  <c:v>Comunidad Valenciana</c:v>
                </c:pt>
                <c:pt idx="16">
                  <c:v>Extremadura</c:v>
                </c:pt>
              </c:strCache>
            </c:strRef>
          </c:cat>
          <c:val>
            <c:numRef>
              <c:f>[Tablas_JAG160818.xlsx]UA_MECD!$B$4:$B$20</c:f>
              <c:numCache>
                <c:formatCode>General</c:formatCode>
                <c:ptCount val="17"/>
                <c:pt idx="0">
                  <c:v>21</c:v>
                </c:pt>
                <c:pt idx="1">
                  <c:v>4</c:v>
                </c:pt>
                <c:pt idx="2">
                  <c:v>2</c:v>
                </c:pt>
                <c:pt idx="3">
                  <c:v>2</c:v>
                </c:pt>
                <c:pt idx="4">
                  <c:v>1</c:v>
                </c:pt>
                <c:pt idx="5">
                  <c:v>1</c:v>
                </c:pt>
                <c:pt idx="6">
                  <c:v>0</c:v>
                </c:pt>
                <c:pt idx="7">
                  <c:v>-1</c:v>
                </c:pt>
                <c:pt idx="8">
                  <c:v>-1</c:v>
                </c:pt>
                <c:pt idx="9">
                  <c:v>-2</c:v>
                </c:pt>
                <c:pt idx="10">
                  <c:v>-6</c:v>
                </c:pt>
                <c:pt idx="11">
                  <c:v>-7</c:v>
                </c:pt>
                <c:pt idx="12">
                  <c:v>-11</c:v>
                </c:pt>
                <c:pt idx="13">
                  <c:v>-13</c:v>
                </c:pt>
                <c:pt idx="14">
                  <c:v>-57</c:v>
                </c:pt>
                <c:pt idx="15">
                  <c:v>-57</c:v>
                </c:pt>
                <c:pt idx="16">
                  <c:v>-64</c:v>
                </c:pt>
              </c:numCache>
            </c:numRef>
          </c:val>
          <c:extLst>
            <c:ext xmlns:c16="http://schemas.microsoft.com/office/drawing/2014/chart" uri="{C3380CC4-5D6E-409C-BE32-E72D297353CC}">
              <c16:uniqueId val="{00000011-767D-4233-A7FF-E56BD808DAD2}"/>
            </c:ext>
          </c:extLst>
        </c:ser>
        <c:dLbls>
          <c:showLegendKey val="0"/>
          <c:showVal val="0"/>
          <c:showCatName val="0"/>
          <c:showSerName val="0"/>
          <c:showPercent val="0"/>
          <c:showBubbleSize val="0"/>
        </c:dLbls>
        <c:gapWidth val="150"/>
        <c:axId val="1466485712"/>
        <c:axId val="1466474288"/>
      </c:barChart>
      <c:catAx>
        <c:axId val="1466485712"/>
        <c:scaling>
          <c:orientation val="minMax"/>
        </c:scaling>
        <c:delete val="1"/>
        <c:axPos val="b"/>
        <c:numFmt formatCode="General" sourceLinked="0"/>
        <c:majorTickMark val="out"/>
        <c:minorTickMark val="none"/>
        <c:tickLblPos val="nextTo"/>
        <c:crossAx val="1466474288"/>
        <c:crosses val="autoZero"/>
        <c:auto val="1"/>
        <c:lblAlgn val="ctr"/>
        <c:lblOffset val="100"/>
        <c:noMultiLvlLbl val="0"/>
      </c:catAx>
      <c:valAx>
        <c:axId val="1466474288"/>
        <c:scaling>
          <c:orientation val="minMax"/>
        </c:scaling>
        <c:delete val="1"/>
        <c:axPos val="l"/>
        <c:numFmt formatCode="General" sourceLinked="1"/>
        <c:majorTickMark val="out"/>
        <c:minorTickMark val="none"/>
        <c:tickLblPos val="nextTo"/>
        <c:crossAx val="146648571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022E-4138-46F1-A089-3A5746BC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7708</Words>
  <Characters>42400</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Gomez Hernandez</dc:creator>
  <cp:keywords/>
  <dc:description/>
  <cp:lastModifiedBy>Jose Antonio Gomez Hernandez</cp:lastModifiedBy>
  <cp:revision>7</cp:revision>
  <dcterms:created xsi:type="dcterms:W3CDTF">2017-11-24T05:50:00Z</dcterms:created>
  <dcterms:modified xsi:type="dcterms:W3CDTF">2017-11-26T16:53:00Z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1c58a9b0-ff2f-3bb2-a9dc-96471e39625d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http://www.zotero.org/styles/iso690-author-date-es</vt:lpwstr>
  </property>
  <property fmtid="{D5CDD505-2E9C-101B-9397-08002B2CF9AE}" pid="18" name="Mendeley Recent Style Name 6_1">
    <vt:lpwstr>ISO-690 (author-date, Spanish)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