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b w:val="1"/>
          <w:rtl w:val="0"/>
        </w:rPr>
        <w:t xml:space="preserve">UKCoRR members day 2013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Tues 3rd Dec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OU, Milton Keynes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up to 50 participants/speakers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b w:val="1"/>
          <w:rtl w:val="0"/>
        </w:rPr>
        <w:t xml:space="preserve">People who have offered to speak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Petr Knoth - CORE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Paul Needham - IRUS-UK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b w:val="1"/>
          <w:rtl w:val="0"/>
        </w:rPr>
        <w:t xml:space="preserve">Topic ideas?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post-REF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b w:val="1"/>
          <w:rtl w:val="0"/>
        </w:rPr>
        <w:t xml:space="preserve">Speaker ideas?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RCUK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HEFCE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Ethos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0" w:before="200" w:lineRule="auto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0" w:before="200" w:lineRule="auto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0" w:before="0" w:lineRule="auto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