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E742" w14:textId="4895BB5B" w:rsidR="007A70A8" w:rsidRDefault="004F00D2">
      <w:pPr>
        <w:rPr>
          <w:lang w:val="en-US"/>
        </w:rPr>
      </w:pPr>
      <w:r>
        <w:rPr>
          <w:noProof/>
        </w:rPr>
        <w:drawing>
          <wp:inline distT="0" distB="0" distL="0" distR="0" wp14:anchorId="3341800E" wp14:editId="72DA656F">
            <wp:extent cx="1924050" cy="26606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397" t="7874" r="32972" b="9646"/>
                    <a:stretch/>
                  </pic:blipFill>
                  <pic:spPr bwMode="auto">
                    <a:xfrm>
                      <a:off x="0" y="0"/>
                      <a:ext cx="1924050" cy="266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33493" w14:textId="77777777" w:rsidR="003755BC" w:rsidRDefault="003755BC">
      <w:pPr>
        <w:rPr>
          <w:lang w:val="en-US"/>
        </w:rPr>
      </w:pPr>
    </w:p>
    <w:p w14:paraId="2F90E534" w14:textId="394AF446" w:rsidR="00330B3F" w:rsidRPr="00D36D6C" w:rsidRDefault="00330B3F">
      <w:pPr>
        <w:rPr>
          <w:i/>
          <w:iCs/>
          <w:lang w:val="en-US"/>
        </w:rPr>
      </w:pPr>
      <w:r w:rsidRPr="007A70A8">
        <w:rPr>
          <w:b/>
          <w:bCs/>
          <w:sz w:val="28"/>
          <w:szCs w:val="28"/>
          <w:lang w:val="en-US"/>
        </w:rPr>
        <w:t>Lessons</w:t>
      </w:r>
      <w:r w:rsidR="004A2B10" w:rsidRPr="007A70A8">
        <w:rPr>
          <w:b/>
          <w:bCs/>
          <w:sz w:val="28"/>
          <w:szCs w:val="28"/>
          <w:lang w:val="en-US"/>
        </w:rPr>
        <w:t xml:space="preserve"> learned</w:t>
      </w:r>
      <w:r w:rsidRPr="007A70A8">
        <w:rPr>
          <w:b/>
          <w:bCs/>
          <w:sz w:val="28"/>
          <w:szCs w:val="28"/>
          <w:lang w:val="en-US"/>
        </w:rPr>
        <w:t xml:space="preserve"> from the pandemi</w:t>
      </w:r>
      <w:r w:rsidR="00226D4D" w:rsidRPr="007A70A8">
        <w:rPr>
          <w:b/>
          <w:bCs/>
          <w:sz w:val="28"/>
          <w:szCs w:val="28"/>
          <w:lang w:val="en-US"/>
        </w:rPr>
        <w:t xml:space="preserve">c and of interest </w:t>
      </w:r>
      <w:r w:rsidR="00AB0FDE" w:rsidRPr="007A70A8">
        <w:rPr>
          <w:b/>
          <w:bCs/>
          <w:sz w:val="28"/>
          <w:szCs w:val="28"/>
          <w:lang w:val="en-US"/>
        </w:rPr>
        <w:t>for</w:t>
      </w:r>
      <w:r w:rsidRPr="007A70A8">
        <w:rPr>
          <w:b/>
          <w:bCs/>
          <w:sz w:val="28"/>
          <w:szCs w:val="28"/>
          <w:lang w:val="en-US"/>
        </w:rPr>
        <w:t xml:space="preserve"> climate change </w:t>
      </w:r>
      <w:r w:rsidR="00AB0FDE" w:rsidRPr="007A70A8">
        <w:rPr>
          <w:b/>
          <w:bCs/>
          <w:sz w:val="28"/>
          <w:szCs w:val="28"/>
          <w:lang w:val="en-US"/>
        </w:rPr>
        <w:t>emergencies</w:t>
      </w:r>
      <w:r w:rsidR="007A70A8">
        <w:rPr>
          <w:rStyle w:val="Refdenotaalpie"/>
          <w:i/>
          <w:iCs/>
          <w:lang w:val="en-US"/>
        </w:rPr>
        <w:footnoteReference w:id="1"/>
      </w:r>
    </w:p>
    <w:p w14:paraId="0A162D89" w14:textId="4B7430AA" w:rsidR="00330B3F" w:rsidRDefault="007A70A8">
      <w:pPr>
        <w:rPr>
          <w:lang w:val="fr-FR"/>
        </w:rPr>
      </w:pPr>
      <w:r w:rsidRPr="007F1D7F">
        <w:rPr>
          <w:lang w:val="fr-FR"/>
        </w:rPr>
        <w:t>Dominique Babini</w:t>
      </w:r>
      <w:r w:rsidR="007F1D7F">
        <w:rPr>
          <w:rStyle w:val="Refdenotaalpie"/>
          <w:lang w:val="fr-FR"/>
        </w:rPr>
        <w:footnoteReference w:id="2"/>
      </w:r>
      <w:r w:rsidRPr="007F1D7F">
        <w:rPr>
          <w:lang w:val="fr-FR"/>
        </w:rPr>
        <w:t xml:space="preserve"> </w:t>
      </w:r>
      <w:r w:rsidR="007F1D7F" w:rsidRPr="007F1D7F">
        <w:rPr>
          <w:lang w:val="fr-FR"/>
        </w:rPr>
        <w:t xml:space="preserve">y Laura </w:t>
      </w:r>
      <w:proofErr w:type="spellStart"/>
      <w:r w:rsidR="007F1D7F" w:rsidRPr="007F1D7F">
        <w:rPr>
          <w:lang w:val="fr-FR"/>
        </w:rPr>
        <w:t>Rovelli</w:t>
      </w:r>
      <w:proofErr w:type="spellEnd"/>
      <w:r w:rsidR="007F1D7F">
        <w:rPr>
          <w:rStyle w:val="Refdenotaalpie"/>
          <w:lang w:val="fr-FR"/>
        </w:rPr>
        <w:footnoteReference w:id="3"/>
      </w:r>
    </w:p>
    <w:p w14:paraId="437BCC5D" w14:textId="38A4CEAF" w:rsidR="003755BC" w:rsidRDefault="003755BC">
      <w:pPr>
        <w:rPr>
          <w:lang w:val="fr-FR"/>
        </w:rPr>
      </w:pPr>
    </w:p>
    <w:p w14:paraId="2599DCE7" w14:textId="77777777" w:rsidR="003755BC" w:rsidRDefault="003755BC">
      <w:pPr>
        <w:rPr>
          <w:lang w:val="fr-FR"/>
        </w:rPr>
      </w:pPr>
    </w:p>
    <w:p w14:paraId="4389FB2E" w14:textId="7D027D84" w:rsidR="00330B3F" w:rsidRDefault="00330B3F" w:rsidP="00330B3F">
      <w:pPr>
        <w:rPr>
          <w:b/>
          <w:bCs/>
          <w:lang w:val="en-US"/>
        </w:rPr>
      </w:pPr>
      <w:r>
        <w:rPr>
          <w:lang w:val="en-US"/>
        </w:rPr>
        <w:t xml:space="preserve">* </w:t>
      </w:r>
      <w:r w:rsidRPr="00330B3F">
        <w:rPr>
          <w:b/>
          <w:bCs/>
          <w:lang w:val="en-US"/>
        </w:rPr>
        <w:t xml:space="preserve">#OpenScience needs to be the default with no paywalls for participants and </w:t>
      </w:r>
      <w:r w:rsidR="007E4667">
        <w:rPr>
          <w:b/>
          <w:bCs/>
          <w:lang w:val="en-US"/>
        </w:rPr>
        <w:t xml:space="preserve">no paywalls for </w:t>
      </w:r>
      <w:r w:rsidRPr="00330B3F">
        <w:rPr>
          <w:b/>
          <w:bCs/>
          <w:lang w:val="en-US"/>
        </w:rPr>
        <w:t>beneficiaries</w:t>
      </w:r>
      <w:r w:rsidR="00210FEF">
        <w:rPr>
          <w:b/>
          <w:bCs/>
          <w:lang w:val="en-US"/>
        </w:rPr>
        <w:t>-the case of open access</w:t>
      </w:r>
    </w:p>
    <w:p w14:paraId="5DFDBE0C" w14:textId="54D89A74" w:rsidR="00573C7B" w:rsidRDefault="002B4CA1" w:rsidP="00330B3F">
      <w:pPr>
        <w:rPr>
          <w:lang w:val="en-US"/>
        </w:rPr>
      </w:pPr>
      <w:r>
        <w:rPr>
          <w:lang w:val="en-US"/>
        </w:rPr>
        <w:t>In the initial months of the COVID-19 public health emergency, a request from n</w:t>
      </w:r>
      <w:r w:rsidRPr="002B4CA1">
        <w:rPr>
          <w:lang w:val="en-US"/>
        </w:rPr>
        <w:t xml:space="preserve">ational </w:t>
      </w:r>
      <w:r>
        <w:rPr>
          <w:lang w:val="en-US"/>
        </w:rPr>
        <w:t>s</w:t>
      </w:r>
      <w:r w:rsidRPr="002B4CA1">
        <w:rPr>
          <w:lang w:val="en-US"/>
        </w:rPr>
        <w:t xml:space="preserve">cience </w:t>
      </w:r>
      <w:r>
        <w:rPr>
          <w:lang w:val="en-US"/>
        </w:rPr>
        <w:t>a</w:t>
      </w:r>
      <w:r w:rsidRPr="002B4CA1">
        <w:rPr>
          <w:lang w:val="en-US"/>
        </w:rPr>
        <w:t>dvisors from a dozen countries</w:t>
      </w:r>
      <w:r>
        <w:rPr>
          <w:lang w:val="en-US"/>
        </w:rPr>
        <w:t xml:space="preserve"> to </w:t>
      </w:r>
      <w:r w:rsidR="00573C7B">
        <w:rPr>
          <w:lang w:val="en-US"/>
        </w:rPr>
        <w:t>scholarly</w:t>
      </w:r>
      <w:r>
        <w:rPr>
          <w:lang w:val="en-US"/>
        </w:rPr>
        <w:t xml:space="preserve"> publishers</w:t>
      </w:r>
      <w:r w:rsidR="00573C7B">
        <w:rPr>
          <w:rStyle w:val="Refdenotaalpie"/>
          <w:lang w:val="en-US"/>
        </w:rPr>
        <w:footnoteReference w:id="4"/>
      </w:r>
      <w:r>
        <w:rPr>
          <w:lang w:val="en-US"/>
        </w:rPr>
        <w:t xml:space="preserve"> </w:t>
      </w:r>
      <w:r w:rsidR="00573C7B">
        <w:rPr>
          <w:lang w:val="en-US"/>
        </w:rPr>
        <w:t xml:space="preserve">resulted in publishers providing free access to coronavirus-related articles, </w:t>
      </w:r>
      <w:r w:rsidR="00210FEF">
        <w:rPr>
          <w:lang w:val="en-US"/>
        </w:rPr>
        <w:t>but this exemption of payment to read COVID-19 research results in subscription journals will be</w:t>
      </w:r>
      <w:r w:rsidR="00573C7B">
        <w:rPr>
          <w:lang w:val="en-US"/>
        </w:rPr>
        <w:t xml:space="preserve"> limited</w:t>
      </w:r>
      <w:r w:rsidR="003F3307">
        <w:rPr>
          <w:lang w:val="en-US"/>
        </w:rPr>
        <w:t xml:space="preserve"> </w:t>
      </w:r>
      <w:r w:rsidR="00573C7B">
        <w:rPr>
          <w:lang w:val="en-US"/>
        </w:rPr>
        <w:t>to the duration of th</w:t>
      </w:r>
      <w:r w:rsidR="00210FEF">
        <w:rPr>
          <w:lang w:val="en-US"/>
        </w:rPr>
        <w:t>is</w:t>
      </w:r>
      <w:r w:rsidR="00573C7B">
        <w:rPr>
          <w:lang w:val="en-US"/>
        </w:rPr>
        <w:t xml:space="preserve"> crisis.</w:t>
      </w:r>
      <w:r w:rsidR="003F3307">
        <w:rPr>
          <w:lang w:val="en-US"/>
        </w:rPr>
        <w:t xml:space="preserve">  And these exemptions of payments are not applicable for </w:t>
      </w:r>
      <w:r w:rsidR="00573C7B" w:rsidRPr="00573C7B">
        <w:rPr>
          <w:lang w:val="en-US"/>
        </w:rPr>
        <w:t xml:space="preserve">authors </w:t>
      </w:r>
      <w:r w:rsidR="00E11134">
        <w:rPr>
          <w:lang w:val="en-US"/>
        </w:rPr>
        <w:t xml:space="preserve">and institutions needing to </w:t>
      </w:r>
      <w:r w:rsidR="00573C7B" w:rsidRPr="00573C7B">
        <w:rPr>
          <w:lang w:val="en-US"/>
        </w:rPr>
        <w:t xml:space="preserve">publish their </w:t>
      </w:r>
      <w:r w:rsidR="000A797E">
        <w:rPr>
          <w:lang w:val="en-US"/>
        </w:rPr>
        <w:t xml:space="preserve">research and data </w:t>
      </w:r>
      <w:r w:rsidR="00573C7B" w:rsidRPr="00573C7B">
        <w:rPr>
          <w:lang w:val="en-US"/>
        </w:rPr>
        <w:t>on COVID-19 in open access journals charging article processing charges (APC).</w:t>
      </w:r>
    </w:p>
    <w:p w14:paraId="7F621AB1" w14:textId="450242C5" w:rsidR="00E11134" w:rsidRDefault="00210FEF" w:rsidP="00330B3F">
      <w:pPr>
        <w:rPr>
          <w:lang w:val="en-US"/>
        </w:rPr>
      </w:pPr>
      <w:r>
        <w:rPr>
          <w:lang w:val="en-US"/>
        </w:rPr>
        <w:t xml:space="preserve">Paywalls to read or to publish results of publicly-funded research should not exist. Scholarly communications </w:t>
      </w:r>
      <w:r w:rsidR="007E4667">
        <w:rPr>
          <w:lang w:val="en-US"/>
        </w:rPr>
        <w:t xml:space="preserve">infrastructures </w:t>
      </w:r>
      <w:r>
        <w:rPr>
          <w:lang w:val="en-US"/>
        </w:rPr>
        <w:t xml:space="preserve">can be </w:t>
      </w:r>
      <w:r w:rsidR="00E11134">
        <w:rPr>
          <w:lang w:val="en-US"/>
        </w:rPr>
        <w:t xml:space="preserve">owned and </w:t>
      </w:r>
      <w:r>
        <w:rPr>
          <w:lang w:val="en-US"/>
        </w:rPr>
        <w:t>managed by the scholarly community</w:t>
      </w:r>
      <w:r w:rsidR="00E11134">
        <w:rPr>
          <w:lang w:val="en-US"/>
        </w:rPr>
        <w:t xml:space="preserve"> providing non-profit services, as is the case of many open access publishing initiatives in universities and other research institutions worldwide.</w:t>
      </w:r>
    </w:p>
    <w:p w14:paraId="23AC1CE0" w14:textId="183748DE" w:rsidR="00E11134" w:rsidRDefault="007E4667" w:rsidP="00E11134">
      <w:pPr>
        <w:rPr>
          <w:lang w:val="en-US"/>
        </w:rPr>
      </w:pPr>
      <w:r>
        <w:rPr>
          <w:lang w:val="en-US"/>
        </w:rPr>
        <w:t xml:space="preserve">This is the case of </w:t>
      </w:r>
      <w:r w:rsidR="00BA2803" w:rsidRPr="00BA2803">
        <w:rPr>
          <w:lang w:val="en-US"/>
        </w:rPr>
        <w:t>Latin America</w:t>
      </w:r>
      <w:r>
        <w:rPr>
          <w:lang w:val="en-US"/>
        </w:rPr>
        <w:t>, which today</w:t>
      </w:r>
      <w:r w:rsidR="00BA2803" w:rsidRPr="00BA2803">
        <w:rPr>
          <w:lang w:val="en-US"/>
        </w:rPr>
        <w:t xml:space="preserve"> is the most advanced region in the world as per percentage of scientific output in local and regional publications available in open access</w:t>
      </w:r>
      <w:r w:rsidR="00BA2803">
        <w:rPr>
          <w:rStyle w:val="Refdenotaalpie"/>
          <w:rFonts w:ascii="Arial" w:hAnsi="Arial" w:cs="Arial"/>
          <w:color w:val="000000"/>
          <w:sz w:val="19"/>
          <w:szCs w:val="19"/>
          <w:shd w:val="clear" w:color="auto" w:fill="FFFFFF"/>
          <w:lang w:val="en-US"/>
        </w:rPr>
        <w:footnoteReference w:id="5"/>
      </w:r>
      <w:r w:rsidR="00BA2803">
        <w:rPr>
          <w:rFonts w:ascii="Arial" w:hAnsi="Arial" w:cs="Arial"/>
          <w:color w:val="000000"/>
          <w:sz w:val="19"/>
          <w:szCs w:val="19"/>
          <w:shd w:val="clear" w:color="auto" w:fill="FFFFFF"/>
          <w:lang w:val="en-US"/>
        </w:rPr>
        <w:t xml:space="preserve">.  </w:t>
      </w:r>
      <w:r w:rsidR="00BA2803">
        <w:rPr>
          <w:rFonts w:ascii="Arial" w:hAnsi="Arial" w:cs="Arial"/>
          <w:color w:val="000000"/>
          <w:sz w:val="19"/>
          <w:szCs w:val="19"/>
          <w:shd w:val="clear" w:color="auto" w:fill="FFFFFF"/>
          <w:lang w:val="en-US"/>
        </w:rPr>
        <w:lastRenderedPageBreak/>
        <w:t>J</w:t>
      </w:r>
      <w:r w:rsidR="00E11134">
        <w:rPr>
          <w:lang w:val="en-US"/>
        </w:rPr>
        <w:t xml:space="preserve">ournals </w:t>
      </w:r>
      <w:r w:rsidR="00BA2803">
        <w:rPr>
          <w:lang w:val="en-US"/>
        </w:rPr>
        <w:t xml:space="preserve">in Latin America are </w:t>
      </w:r>
      <w:r w:rsidR="00E11134">
        <w:rPr>
          <w:lang w:val="en-US"/>
        </w:rPr>
        <w:t xml:space="preserve">published by universities and other scholarly institutions, and funded as part of the cost of research, </w:t>
      </w:r>
      <w:r w:rsidR="00E11134" w:rsidRPr="00681B17">
        <w:rPr>
          <w:lang w:val="en-US"/>
        </w:rPr>
        <w:t>with</w:t>
      </w:r>
      <w:r w:rsidR="00E11134">
        <w:rPr>
          <w:lang w:val="en-US"/>
        </w:rPr>
        <w:t xml:space="preserve"> </w:t>
      </w:r>
      <w:r w:rsidR="00E11134" w:rsidRPr="00681B17">
        <w:rPr>
          <w:lang w:val="en-US"/>
        </w:rPr>
        <w:t xml:space="preserve">no </w:t>
      </w:r>
      <w:r w:rsidR="00E11134">
        <w:rPr>
          <w:lang w:val="en-US"/>
        </w:rPr>
        <w:t>charge to read and no charge to publish.  In a study about the use of these open access contents</w:t>
      </w:r>
      <w:r w:rsidR="00E11134">
        <w:rPr>
          <w:rStyle w:val="Refdenotaalpie"/>
          <w:lang w:val="en-US"/>
        </w:rPr>
        <w:footnoteReference w:id="6"/>
      </w:r>
      <w:r w:rsidR="00E11134">
        <w:rPr>
          <w:lang w:val="en-US"/>
        </w:rPr>
        <w:t>, 75% of use comes from university students</w:t>
      </w:r>
      <w:r w:rsidR="00BA2803">
        <w:rPr>
          <w:lang w:val="en-US"/>
        </w:rPr>
        <w:t xml:space="preserve">, </w:t>
      </w:r>
      <w:r w:rsidR="00E11134">
        <w:rPr>
          <w:lang w:val="en-US"/>
        </w:rPr>
        <w:t xml:space="preserve">professors and researchers, and to a lesser extent by practitioners and citizens looking for information in the Web.  </w:t>
      </w:r>
      <w:r w:rsidR="00F4798B">
        <w:rPr>
          <w:lang w:val="en-US"/>
        </w:rPr>
        <w:t xml:space="preserve"> </w:t>
      </w:r>
    </w:p>
    <w:p w14:paraId="4AB96BB3" w14:textId="77777777" w:rsidR="00D36D6C" w:rsidRDefault="00226D4D" w:rsidP="00F4798B">
      <w:pPr>
        <w:rPr>
          <w:lang w:val="en-US"/>
        </w:rPr>
      </w:pPr>
      <w:r>
        <w:rPr>
          <w:lang w:val="en-US"/>
        </w:rPr>
        <w:t xml:space="preserve">Community-led open access and open science has better chances to be more inclusive, equitable and </w:t>
      </w:r>
      <w:r w:rsidR="00F4798B" w:rsidRPr="00F4798B">
        <w:rPr>
          <w:lang w:val="en-US"/>
        </w:rPr>
        <w:t>sustainable</w:t>
      </w:r>
      <w:r>
        <w:rPr>
          <w:lang w:val="en-US"/>
        </w:rPr>
        <w:t>.</w:t>
      </w:r>
    </w:p>
    <w:p w14:paraId="3FB0E0F6" w14:textId="77777777" w:rsidR="00D36D6C" w:rsidRDefault="00D36D6C" w:rsidP="00F4798B">
      <w:pPr>
        <w:rPr>
          <w:lang w:val="en-US"/>
        </w:rPr>
      </w:pPr>
    </w:p>
    <w:p w14:paraId="0C788018" w14:textId="4665851F" w:rsidR="00AB0FDE" w:rsidRPr="00D36D6C" w:rsidRDefault="00AB0FDE" w:rsidP="00F4798B">
      <w:pPr>
        <w:rPr>
          <w:lang w:val="en-US"/>
        </w:rPr>
      </w:pPr>
      <w:r>
        <w:rPr>
          <w:lang w:val="en-US"/>
        </w:rPr>
        <w:t xml:space="preserve">* </w:t>
      </w:r>
      <w:r w:rsidRPr="00AB0FDE">
        <w:rPr>
          <w:b/>
          <w:bCs/>
          <w:lang w:val="en-US"/>
        </w:rPr>
        <w:t xml:space="preserve">Assessment </w:t>
      </w:r>
      <w:r w:rsidR="00431091">
        <w:rPr>
          <w:b/>
          <w:bCs/>
          <w:lang w:val="en-US"/>
        </w:rPr>
        <w:t xml:space="preserve">of scholarly publishing </w:t>
      </w:r>
      <w:r w:rsidR="00226D4D">
        <w:rPr>
          <w:b/>
          <w:bCs/>
          <w:lang w:val="en-US"/>
        </w:rPr>
        <w:t>based on traditional indicators (</w:t>
      </w:r>
      <w:proofErr w:type="gramStart"/>
      <w:r w:rsidR="00431091">
        <w:rPr>
          <w:b/>
          <w:bCs/>
          <w:lang w:val="en-US"/>
        </w:rPr>
        <w:t>e.</w:t>
      </w:r>
      <w:r w:rsidR="00226D4D">
        <w:rPr>
          <w:b/>
          <w:bCs/>
          <w:lang w:val="en-US"/>
        </w:rPr>
        <w:t>g.</w:t>
      </w:r>
      <w:proofErr w:type="gramEnd"/>
      <w:r w:rsidR="00226D4D">
        <w:rPr>
          <w:b/>
          <w:bCs/>
          <w:lang w:val="en-US"/>
        </w:rPr>
        <w:t xml:space="preserve"> impact factor</w:t>
      </w:r>
      <w:r w:rsidR="00431091">
        <w:rPr>
          <w:b/>
          <w:bCs/>
          <w:lang w:val="en-US"/>
        </w:rPr>
        <w:t xml:space="preserve"> of journals</w:t>
      </w:r>
      <w:r w:rsidR="00226D4D">
        <w:rPr>
          <w:b/>
          <w:bCs/>
          <w:lang w:val="en-US"/>
        </w:rPr>
        <w:t xml:space="preserve">) does not contribute to </w:t>
      </w:r>
      <w:r w:rsidRPr="00AB0FDE">
        <w:rPr>
          <w:b/>
          <w:bCs/>
          <w:lang w:val="en-US"/>
        </w:rPr>
        <w:t>incentivize</w:t>
      </w:r>
      <w:r w:rsidR="00431091">
        <w:rPr>
          <w:b/>
          <w:bCs/>
          <w:lang w:val="en-US"/>
        </w:rPr>
        <w:t xml:space="preserve"> inclusive and participatory</w:t>
      </w:r>
      <w:r w:rsidRPr="00AB0FDE">
        <w:rPr>
          <w:b/>
          <w:bCs/>
          <w:lang w:val="en-US"/>
        </w:rPr>
        <w:t xml:space="preserve"> </w:t>
      </w:r>
      <w:r w:rsidR="00431091">
        <w:rPr>
          <w:b/>
          <w:bCs/>
          <w:lang w:val="en-US"/>
        </w:rPr>
        <w:t>open</w:t>
      </w:r>
      <w:r w:rsidRPr="00AB0FDE">
        <w:rPr>
          <w:b/>
          <w:bCs/>
          <w:lang w:val="en-US"/>
        </w:rPr>
        <w:t xml:space="preserve"> science </w:t>
      </w:r>
      <w:r w:rsidR="00431091">
        <w:rPr>
          <w:b/>
          <w:bCs/>
          <w:lang w:val="en-US"/>
        </w:rPr>
        <w:t xml:space="preserve">practices using </w:t>
      </w:r>
      <w:proofErr w:type="spellStart"/>
      <w:r w:rsidR="00431091">
        <w:rPr>
          <w:b/>
          <w:bCs/>
          <w:lang w:val="en-US"/>
        </w:rPr>
        <w:t>bibliodiverse</w:t>
      </w:r>
      <w:proofErr w:type="spellEnd"/>
      <w:r w:rsidR="00431091">
        <w:rPr>
          <w:b/>
          <w:bCs/>
          <w:lang w:val="en-US"/>
        </w:rPr>
        <w:t xml:space="preserve"> and multilingual local as well as international open access venues for publishing</w:t>
      </w:r>
    </w:p>
    <w:p w14:paraId="7C3133D7" w14:textId="77777777" w:rsidR="00431091" w:rsidRDefault="00226D4D" w:rsidP="0017020F">
      <w:pPr>
        <w:rPr>
          <w:lang w:val="en-US"/>
        </w:rPr>
      </w:pPr>
      <w:r w:rsidRPr="00226D4D">
        <w:rPr>
          <w:lang w:val="en-US"/>
        </w:rPr>
        <w:t xml:space="preserve">The dominant use </w:t>
      </w:r>
      <w:r>
        <w:rPr>
          <w:lang w:val="en-US"/>
        </w:rPr>
        <w:t xml:space="preserve">of the impact factor (IF) to assess research being published </w:t>
      </w:r>
      <w:r w:rsidR="0017020F">
        <w:rPr>
          <w:lang w:val="en-US"/>
        </w:rPr>
        <w:t>-</w:t>
      </w:r>
      <w:r>
        <w:rPr>
          <w:lang w:val="en-US"/>
        </w:rPr>
        <w:t>an indicator based on collections of journals with very poor presence of quality journals from developing regions</w:t>
      </w:r>
      <w:r w:rsidR="0017020F">
        <w:rPr>
          <w:lang w:val="en-US"/>
        </w:rPr>
        <w:t xml:space="preserve"> in languages other than English- is a practice that does not incentivize open science. </w:t>
      </w:r>
    </w:p>
    <w:p w14:paraId="1E0B33A7" w14:textId="0A280301" w:rsidR="004A2B10" w:rsidRDefault="0017020F" w:rsidP="00330B3F">
      <w:pPr>
        <w:rPr>
          <w:rFonts w:ascii="Calibri" w:hAnsi="Calibri" w:cs="Calibri"/>
          <w:color w:val="000000"/>
          <w:lang w:val="en-US"/>
        </w:rPr>
      </w:pPr>
      <w:r>
        <w:rPr>
          <w:lang w:val="en-US"/>
        </w:rPr>
        <w:t>P</w:t>
      </w:r>
      <w:r w:rsidR="004A2B10" w:rsidRPr="00332A00">
        <w:rPr>
          <w:shd w:val="clear" w:color="auto" w:fill="FFFFFF"/>
          <w:lang w:val="en-US"/>
        </w:rPr>
        <w:t xml:space="preserve">utting all </w:t>
      </w:r>
      <w:proofErr w:type="gramStart"/>
      <w:r w:rsidR="00500344">
        <w:rPr>
          <w:shd w:val="clear" w:color="auto" w:fill="FFFFFF"/>
          <w:lang w:val="en-US"/>
        </w:rPr>
        <w:t>quality controlled</w:t>
      </w:r>
      <w:proofErr w:type="gramEnd"/>
      <w:r w:rsidR="00500344">
        <w:rPr>
          <w:shd w:val="clear" w:color="auto" w:fill="FFFFFF"/>
          <w:lang w:val="en-US"/>
        </w:rPr>
        <w:t xml:space="preserve"> collections available in diversity of open publishing </w:t>
      </w:r>
      <w:r w:rsidR="004A2B10" w:rsidRPr="00332A00">
        <w:rPr>
          <w:shd w:val="clear" w:color="auto" w:fill="FFFFFF"/>
          <w:lang w:val="en-US"/>
        </w:rPr>
        <w:t>venues</w:t>
      </w:r>
      <w:r w:rsidR="00431DE4">
        <w:rPr>
          <w:shd w:val="clear" w:color="auto" w:fill="FFFFFF"/>
          <w:lang w:val="en-US"/>
        </w:rPr>
        <w:t xml:space="preserve"> -</w:t>
      </w:r>
      <w:r w:rsidR="00500344">
        <w:rPr>
          <w:shd w:val="clear" w:color="auto" w:fill="FFFFFF"/>
          <w:lang w:val="en-US"/>
        </w:rPr>
        <w:t xml:space="preserve">publishing platforms, </w:t>
      </w:r>
      <w:r w:rsidR="004A2B10" w:rsidRPr="00332A00">
        <w:rPr>
          <w:shd w:val="clear" w:color="auto" w:fill="FFFFFF"/>
          <w:lang w:val="en-US"/>
        </w:rPr>
        <w:t xml:space="preserve">preprint </w:t>
      </w:r>
      <w:r w:rsidR="00500344">
        <w:rPr>
          <w:shd w:val="clear" w:color="auto" w:fill="FFFFFF"/>
          <w:lang w:val="en-US"/>
        </w:rPr>
        <w:t xml:space="preserve">and data </w:t>
      </w:r>
      <w:r w:rsidR="004A2B10" w:rsidRPr="00332A00">
        <w:rPr>
          <w:shd w:val="clear" w:color="auto" w:fill="FFFFFF"/>
          <w:lang w:val="en-US"/>
        </w:rPr>
        <w:t>archives</w:t>
      </w:r>
      <w:r w:rsidR="00500344">
        <w:rPr>
          <w:shd w:val="clear" w:color="auto" w:fill="FFFFFF"/>
          <w:lang w:val="en-US"/>
        </w:rPr>
        <w:t>,</w:t>
      </w:r>
      <w:r w:rsidR="004A2B10" w:rsidRPr="00332A00">
        <w:rPr>
          <w:shd w:val="clear" w:color="auto" w:fill="FFFFFF"/>
          <w:lang w:val="en-US"/>
        </w:rPr>
        <w:t xml:space="preserve"> </w:t>
      </w:r>
      <w:r w:rsidR="00500344">
        <w:rPr>
          <w:shd w:val="clear" w:color="auto" w:fill="FFFFFF"/>
          <w:lang w:val="en-US"/>
        </w:rPr>
        <w:t xml:space="preserve">and </w:t>
      </w:r>
      <w:r w:rsidR="004A2B10" w:rsidRPr="00332A00">
        <w:rPr>
          <w:shd w:val="clear" w:color="auto" w:fill="FFFFFF"/>
          <w:lang w:val="en-US"/>
        </w:rPr>
        <w:t xml:space="preserve">institutional </w:t>
      </w:r>
      <w:r w:rsidR="00500344">
        <w:rPr>
          <w:shd w:val="clear" w:color="auto" w:fill="FFFFFF"/>
          <w:lang w:val="en-US"/>
        </w:rPr>
        <w:t xml:space="preserve">and subject </w:t>
      </w:r>
      <w:r w:rsidR="004A2B10" w:rsidRPr="00332A00">
        <w:rPr>
          <w:shd w:val="clear" w:color="auto" w:fill="FFFFFF"/>
          <w:lang w:val="en-US"/>
        </w:rPr>
        <w:t>repositories</w:t>
      </w:r>
      <w:r w:rsidR="00431DE4">
        <w:rPr>
          <w:shd w:val="clear" w:color="auto" w:fill="FFFFFF"/>
          <w:lang w:val="en-US"/>
        </w:rPr>
        <w:t>-</w:t>
      </w:r>
      <w:r w:rsidR="004A2B10" w:rsidRPr="00332A00">
        <w:rPr>
          <w:shd w:val="clear" w:color="auto" w:fill="FFFFFF"/>
          <w:lang w:val="en-US"/>
        </w:rPr>
        <w:t xml:space="preserve"> on the same footing</w:t>
      </w:r>
      <w:r w:rsidR="00500344">
        <w:rPr>
          <w:shd w:val="clear" w:color="auto" w:fill="FFFFFF"/>
          <w:lang w:val="en-US"/>
        </w:rPr>
        <w:t xml:space="preserve"> during research assessment practices</w:t>
      </w:r>
      <w:r w:rsidR="004A2B10" w:rsidRPr="00332A00">
        <w:rPr>
          <w:shd w:val="clear" w:color="auto" w:fill="FFFFFF"/>
          <w:lang w:val="en-US"/>
        </w:rPr>
        <w:t xml:space="preserve">, </w:t>
      </w:r>
      <w:r w:rsidR="004A2B10">
        <w:rPr>
          <w:shd w:val="clear" w:color="auto" w:fill="FFFFFF"/>
          <w:lang w:val="en-US"/>
        </w:rPr>
        <w:t>could</w:t>
      </w:r>
      <w:r w:rsidR="004A2B10" w:rsidRPr="00332A00">
        <w:rPr>
          <w:shd w:val="clear" w:color="auto" w:fill="FFFFFF"/>
          <w:lang w:val="en-US"/>
        </w:rPr>
        <w:t xml:space="preserve"> remove some of the pressure to publish in prestige journals</w:t>
      </w:r>
      <w:r>
        <w:rPr>
          <w:shd w:val="clear" w:color="auto" w:fill="FFFFFF"/>
          <w:lang w:val="en-US"/>
        </w:rPr>
        <w:t xml:space="preserve"> with high IF</w:t>
      </w:r>
      <w:r w:rsidR="004A2B10" w:rsidRPr="00332A00">
        <w:rPr>
          <w:shd w:val="clear" w:color="auto" w:fill="FFFFFF"/>
          <w:lang w:val="en-US"/>
        </w:rPr>
        <w:t>.</w:t>
      </w:r>
      <w:r w:rsidR="00431DE4">
        <w:rPr>
          <w:shd w:val="clear" w:color="auto" w:fill="FFFFFF"/>
          <w:lang w:val="en-US"/>
        </w:rPr>
        <w:t xml:space="preserve">  And </w:t>
      </w:r>
      <w:r w:rsidR="00431DE4">
        <w:rPr>
          <w:rFonts w:ascii="Calibri" w:hAnsi="Calibri" w:cs="Calibri"/>
          <w:color w:val="000000"/>
          <w:lang w:val="en-US"/>
        </w:rPr>
        <w:t>it will make the DORA and Leiden recommendations easier to implement.</w:t>
      </w:r>
    </w:p>
    <w:p w14:paraId="3C080465" w14:textId="77777777" w:rsidR="003755BC" w:rsidRPr="004A2B10" w:rsidRDefault="003755BC" w:rsidP="00330B3F">
      <w:pPr>
        <w:rPr>
          <w:lang w:val="en-US"/>
        </w:rPr>
      </w:pPr>
    </w:p>
    <w:p w14:paraId="67152BD6" w14:textId="583C4144" w:rsidR="00F023D0" w:rsidRPr="00B849B5" w:rsidRDefault="00F023D0" w:rsidP="00B849B5">
      <w:pPr>
        <w:jc w:val="both"/>
        <w:rPr>
          <w:b/>
          <w:bCs/>
          <w:lang w:val="en-US"/>
        </w:rPr>
      </w:pPr>
      <w:r w:rsidRPr="00B849B5">
        <w:rPr>
          <w:b/>
          <w:bCs/>
          <w:lang w:val="en-US"/>
        </w:rPr>
        <w:t xml:space="preserve">* </w:t>
      </w:r>
      <w:r w:rsidR="00B849B5" w:rsidRPr="00B849B5">
        <w:rPr>
          <w:b/>
          <w:bCs/>
          <w:lang w:val="en-US"/>
        </w:rPr>
        <w:t>Mission-oriented research assessment requires contextualizing frameworks</w:t>
      </w:r>
      <w:r w:rsidR="00AE43E2">
        <w:rPr>
          <w:b/>
          <w:bCs/>
          <w:lang w:val="en-US"/>
        </w:rPr>
        <w:t xml:space="preserve"> and situated methodologies</w:t>
      </w:r>
      <w:r w:rsidR="00B849B5" w:rsidRPr="00B849B5">
        <w:rPr>
          <w:b/>
          <w:bCs/>
          <w:lang w:val="en-US"/>
        </w:rPr>
        <w:t>, particular or extended evaluation criteria, and reviewers with wider backgrounds and expertise</w:t>
      </w:r>
      <w:r w:rsidR="00AE43E2">
        <w:rPr>
          <w:b/>
          <w:bCs/>
          <w:lang w:val="en-US"/>
        </w:rPr>
        <w:t xml:space="preserve"> and the participation of social movements and/or local communities.</w:t>
      </w:r>
    </w:p>
    <w:p w14:paraId="4A9442C3" w14:textId="3042A20C" w:rsidR="008E59A0" w:rsidRDefault="008E59A0" w:rsidP="00090D3A">
      <w:pPr>
        <w:jc w:val="both"/>
        <w:rPr>
          <w:lang w:val="en-US"/>
        </w:rPr>
      </w:pPr>
      <w:r>
        <w:rPr>
          <w:lang w:val="en-US"/>
        </w:rPr>
        <w:t>Lessons learned from the COVID 19 pandemic and of interest for climate change emergencies make emphasis on the trend towards high</w:t>
      </w:r>
      <w:r w:rsidRPr="004230AE">
        <w:rPr>
          <w:lang w:val="en-US"/>
        </w:rPr>
        <w:t>-quality mission-oriented research to improve policy</w:t>
      </w:r>
      <w:r>
        <w:rPr>
          <w:lang w:val="en-US"/>
        </w:rPr>
        <w:t xml:space="preserve"> </w:t>
      </w:r>
      <w:r w:rsidRPr="004230AE">
        <w:rPr>
          <w:lang w:val="en-US"/>
        </w:rPr>
        <w:t xml:space="preserve">efforts for global sustainability, its contribution to solving social and environmental issues and </w:t>
      </w:r>
      <w:r>
        <w:rPr>
          <w:lang w:val="en-US"/>
        </w:rPr>
        <w:t xml:space="preserve">increase </w:t>
      </w:r>
      <w:r w:rsidRPr="004230AE">
        <w:rPr>
          <w:lang w:val="en-US"/>
        </w:rPr>
        <w:t>public engagement</w:t>
      </w:r>
      <w:r>
        <w:rPr>
          <w:lang w:val="en-US"/>
        </w:rPr>
        <w:t xml:space="preserve">. </w:t>
      </w:r>
    </w:p>
    <w:p w14:paraId="2DF19387" w14:textId="14FFFDAD" w:rsidR="00BB673C" w:rsidRDefault="004825F9" w:rsidP="004230AE">
      <w:pPr>
        <w:jc w:val="both"/>
        <w:rPr>
          <w:lang w:val="en-US"/>
        </w:rPr>
      </w:pPr>
      <w:r>
        <w:rPr>
          <w:lang w:val="en-US"/>
        </w:rPr>
        <w:t>O</w:t>
      </w:r>
      <w:r w:rsidR="0072594F" w:rsidRPr="004230AE">
        <w:rPr>
          <w:lang w:val="en-US"/>
        </w:rPr>
        <w:t>n th</w:t>
      </w:r>
      <w:r w:rsidR="00A2298E">
        <w:rPr>
          <w:lang w:val="en-US"/>
        </w:rPr>
        <w:t xml:space="preserve">e </w:t>
      </w:r>
      <w:r>
        <w:rPr>
          <w:lang w:val="en-US"/>
        </w:rPr>
        <w:t>road</w:t>
      </w:r>
      <w:r w:rsidR="00A2298E">
        <w:rPr>
          <w:lang w:val="en-US"/>
        </w:rPr>
        <w:t xml:space="preserve"> of</w:t>
      </w:r>
      <w:r w:rsidR="0072594F" w:rsidRPr="004230AE">
        <w:rPr>
          <w:lang w:val="en-US"/>
        </w:rPr>
        <w:t xml:space="preserve"> </w:t>
      </w:r>
      <w:r>
        <w:rPr>
          <w:lang w:val="en-US"/>
        </w:rPr>
        <w:t>an increasing d</w:t>
      </w:r>
      <w:r w:rsidR="0072594F" w:rsidRPr="004230AE">
        <w:rPr>
          <w:lang w:val="en-US"/>
        </w:rPr>
        <w:t xml:space="preserve">emand for new indicators to capture the </w:t>
      </w:r>
      <w:r w:rsidR="004230AE" w:rsidRPr="004230AE">
        <w:rPr>
          <w:lang w:val="en-US"/>
        </w:rPr>
        <w:t>contribution of</w:t>
      </w:r>
      <w:r w:rsidR="0072594F" w:rsidRPr="004230AE">
        <w:rPr>
          <w:lang w:val="en-US"/>
        </w:rPr>
        <w:t xml:space="preserve"> research to society, particularly those aligned with </w:t>
      </w:r>
      <w:r w:rsidR="00836CA6" w:rsidRPr="00312A72">
        <w:rPr>
          <w:lang w:val="en-US"/>
        </w:rPr>
        <w:t xml:space="preserve">The United Nation’s Sustainable Development Goals (SDGs) – established as part of the UN’s Agenda 2030 </w:t>
      </w:r>
      <w:r w:rsidR="00A2298E" w:rsidRPr="00312A72">
        <w:rPr>
          <w:lang w:val="en-US"/>
        </w:rPr>
        <w:t>–</w:t>
      </w:r>
      <w:r w:rsidR="00A2298E" w:rsidRPr="004230AE">
        <w:rPr>
          <w:lang w:val="en-US"/>
        </w:rPr>
        <w:t>there</w:t>
      </w:r>
      <w:r w:rsidR="0072594F" w:rsidRPr="004230AE">
        <w:rPr>
          <w:lang w:val="en-US"/>
        </w:rPr>
        <w:t xml:space="preserve"> is a need to compare </w:t>
      </w:r>
      <w:r w:rsidR="0072594F" w:rsidRPr="00777AE7">
        <w:rPr>
          <w:lang w:val="en-US"/>
        </w:rPr>
        <w:t xml:space="preserve">various methodologies, </w:t>
      </w:r>
      <w:r w:rsidR="00BB673C">
        <w:rPr>
          <w:lang w:val="en-US"/>
        </w:rPr>
        <w:t>each</w:t>
      </w:r>
      <w:r w:rsidR="0072594F" w:rsidRPr="00777AE7">
        <w:rPr>
          <w:lang w:val="en-US"/>
        </w:rPr>
        <w:t xml:space="preserve"> </w:t>
      </w:r>
      <w:r w:rsidR="00BB673C">
        <w:rPr>
          <w:lang w:val="en-US"/>
        </w:rPr>
        <w:t>of them</w:t>
      </w:r>
      <w:r w:rsidR="0072594F" w:rsidRPr="00777AE7">
        <w:rPr>
          <w:lang w:val="en-US"/>
        </w:rPr>
        <w:t xml:space="preserve"> </w:t>
      </w:r>
      <w:r w:rsidR="00BB673C">
        <w:rPr>
          <w:lang w:val="en-US"/>
        </w:rPr>
        <w:t xml:space="preserve">with a particular understanding </w:t>
      </w:r>
      <w:r w:rsidR="0072594F" w:rsidRPr="00777AE7">
        <w:rPr>
          <w:lang w:val="en-US"/>
        </w:rPr>
        <w:t xml:space="preserve">of the SDGs and evaluate </w:t>
      </w:r>
      <w:r w:rsidR="00A2298E">
        <w:rPr>
          <w:lang w:val="en-US"/>
        </w:rPr>
        <w:t>their use</w:t>
      </w:r>
      <w:r w:rsidR="0072594F" w:rsidRPr="00777AE7">
        <w:rPr>
          <w:lang w:val="en-US"/>
        </w:rPr>
        <w:t xml:space="preserve"> for specific contexts and purposes</w:t>
      </w:r>
      <w:r w:rsidR="00B849B5">
        <w:rPr>
          <w:lang w:val="en-US"/>
        </w:rPr>
        <w:t xml:space="preserve"> in Latin America and the Caribbean</w:t>
      </w:r>
      <w:r w:rsidR="004230AE" w:rsidRPr="004230AE">
        <w:footnoteReference w:id="7"/>
      </w:r>
      <w:r w:rsidR="00B849B5">
        <w:rPr>
          <w:lang w:val="en-US"/>
        </w:rPr>
        <w:t xml:space="preserve"> </w:t>
      </w:r>
      <w:r w:rsidR="0072594F" w:rsidRPr="004230AE">
        <w:rPr>
          <w:lang w:val="en-US"/>
        </w:rPr>
        <w:t xml:space="preserve">. </w:t>
      </w:r>
      <w:r w:rsidR="00BB673C">
        <w:rPr>
          <w:lang w:val="en-US"/>
        </w:rPr>
        <w:t>M</w:t>
      </w:r>
      <w:r w:rsidR="00B57E45" w:rsidRPr="00B57E45">
        <w:rPr>
          <w:lang w:val="en-US"/>
        </w:rPr>
        <w:t xml:space="preserve">ission-oriented research </w:t>
      </w:r>
      <w:r w:rsidR="00836CA6" w:rsidRPr="00B57E45">
        <w:rPr>
          <w:lang w:val="en-US"/>
        </w:rPr>
        <w:t xml:space="preserve">assessment </w:t>
      </w:r>
      <w:r w:rsidR="00BB673C">
        <w:rPr>
          <w:lang w:val="en-US"/>
        </w:rPr>
        <w:t xml:space="preserve">might </w:t>
      </w:r>
      <w:r w:rsidR="00836CA6" w:rsidRPr="00B57E45">
        <w:rPr>
          <w:lang w:val="en-US"/>
        </w:rPr>
        <w:t>require</w:t>
      </w:r>
      <w:r w:rsidR="00B57E45" w:rsidRPr="00B57E45">
        <w:rPr>
          <w:lang w:val="en-US"/>
        </w:rPr>
        <w:t xml:space="preserve"> </w:t>
      </w:r>
      <w:r w:rsidR="00BB673C">
        <w:rPr>
          <w:lang w:val="en-US"/>
        </w:rPr>
        <w:t>referencing frame</w:t>
      </w:r>
      <w:r>
        <w:rPr>
          <w:lang w:val="en-US"/>
        </w:rPr>
        <w:t>work</w:t>
      </w:r>
      <w:r w:rsidR="00BB673C">
        <w:rPr>
          <w:lang w:val="en-US"/>
        </w:rPr>
        <w:t>s</w:t>
      </w:r>
      <w:r w:rsidR="00AE43E2">
        <w:rPr>
          <w:lang w:val="en-US"/>
        </w:rPr>
        <w:t xml:space="preserve"> and situated methodologies</w:t>
      </w:r>
      <w:r w:rsidR="00B57E45" w:rsidRPr="00B57E45">
        <w:rPr>
          <w:lang w:val="en-US"/>
        </w:rPr>
        <w:t xml:space="preserve">, </w:t>
      </w:r>
      <w:r w:rsidR="00B849B5">
        <w:rPr>
          <w:lang w:val="en-US"/>
        </w:rPr>
        <w:t>particular</w:t>
      </w:r>
      <w:r w:rsidR="00B57E45" w:rsidRPr="00B57E45">
        <w:rPr>
          <w:lang w:val="en-US"/>
        </w:rPr>
        <w:t xml:space="preserve"> or extended evaluation criteria, and reviewers with </w:t>
      </w:r>
      <w:r>
        <w:rPr>
          <w:lang w:val="en-US"/>
        </w:rPr>
        <w:t>wider</w:t>
      </w:r>
      <w:r w:rsidR="00B57E45" w:rsidRPr="00B57E45">
        <w:rPr>
          <w:lang w:val="en-US"/>
        </w:rPr>
        <w:t xml:space="preserve"> background</w:t>
      </w:r>
      <w:r>
        <w:rPr>
          <w:lang w:val="en-US"/>
        </w:rPr>
        <w:t>s and expertise</w:t>
      </w:r>
      <w:r w:rsidR="00B57E45" w:rsidRPr="00B57E45">
        <w:rPr>
          <w:lang w:val="en-US"/>
        </w:rPr>
        <w:t xml:space="preserve">, </w:t>
      </w:r>
      <w:r w:rsidR="00AE43E2" w:rsidRPr="00B57E45">
        <w:rPr>
          <w:lang w:val="en-US"/>
        </w:rPr>
        <w:lastRenderedPageBreak/>
        <w:t>practitioners,</w:t>
      </w:r>
      <w:r>
        <w:rPr>
          <w:lang w:val="en-US"/>
        </w:rPr>
        <w:t xml:space="preserve"> or non-academic stakeholders</w:t>
      </w:r>
      <w:r w:rsidR="00AE43E2">
        <w:rPr>
          <w:lang w:val="en-US"/>
        </w:rPr>
        <w:t xml:space="preserve"> and the participation of social movements and/or local communities</w:t>
      </w:r>
      <w:r w:rsidR="00AD57E6">
        <w:rPr>
          <w:rStyle w:val="Refdenotaalpie"/>
          <w:lang w:val="en-US"/>
        </w:rPr>
        <w:footnoteReference w:id="8"/>
      </w:r>
      <w:r w:rsidR="00B57E45" w:rsidRPr="00B57E45">
        <w:rPr>
          <w:lang w:val="en-US"/>
        </w:rPr>
        <w:t>.</w:t>
      </w:r>
      <w:r w:rsidR="004230AE">
        <w:rPr>
          <w:lang w:val="en-US"/>
        </w:rPr>
        <w:t xml:space="preserve"> </w:t>
      </w:r>
    </w:p>
    <w:p w14:paraId="399EE8B3" w14:textId="1683FDF2" w:rsidR="00545842" w:rsidRPr="004230AE" w:rsidRDefault="00545842" w:rsidP="004230AE">
      <w:pPr>
        <w:jc w:val="both"/>
        <w:rPr>
          <w:lang w:val="en-US"/>
        </w:rPr>
      </w:pPr>
      <w:r w:rsidRPr="004230AE">
        <w:rPr>
          <w:lang w:val="en-US"/>
        </w:rPr>
        <w:t xml:space="preserve">From our experience and perspective, as a network of more than </w:t>
      </w:r>
      <w:r w:rsidR="00D36D6C">
        <w:rPr>
          <w:lang w:val="en-US"/>
        </w:rPr>
        <w:t>800</w:t>
      </w:r>
      <w:r w:rsidRPr="004230AE">
        <w:rPr>
          <w:lang w:val="en-US"/>
        </w:rPr>
        <w:t xml:space="preserve"> research institutions in 5</w:t>
      </w:r>
      <w:r w:rsidR="00D36D6C">
        <w:rPr>
          <w:lang w:val="en-US"/>
        </w:rPr>
        <w:t>5</w:t>
      </w:r>
      <w:r w:rsidRPr="004230AE">
        <w:rPr>
          <w:lang w:val="en-US"/>
        </w:rPr>
        <w:t xml:space="preserve"> countries</w:t>
      </w:r>
      <w:r w:rsidR="00BB673C">
        <w:rPr>
          <w:lang w:val="en-US"/>
        </w:rPr>
        <w:t xml:space="preserve">, there is </w:t>
      </w:r>
      <w:r w:rsidRPr="004230AE">
        <w:rPr>
          <w:lang w:val="en-US"/>
        </w:rPr>
        <w:t>a unique opportunity to address those concerns by reviewing evaluation procedures and making a transition to open science practices (UNESCO, 2021)</w:t>
      </w:r>
      <w:r w:rsidR="00836CA6" w:rsidRPr="004230AE">
        <w:rPr>
          <w:lang w:val="en-US"/>
        </w:rPr>
        <w:t xml:space="preserve"> </w:t>
      </w:r>
      <w:r w:rsidRPr="004230AE">
        <w:rPr>
          <w:lang w:val="en-US"/>
        </w:rPr>
        <w:t xml:space="preserve">and producing new data and analysis that can contribute to strengthen </w:t>
      </w:r>
      <w:r w:rsidR="004825F9">
        <w:rPr>
          <w:lang w:val="en-US"/>
        </w:rPr>
        <w:t xml:space="preserve">the interactions between </w:t>
      </w:r>
      <w:r w:rsidRPr="004230AE">
        <w:rPr>
          <w:lang w:val="en-US"/>
        </w:rPr>
        <w:t>science systems and society.</w:t>
      </w:r>
    </w:p>
    <w:p w14:paraId="4E9A6A5E" w14:textId="77777777" w:rsidR="00F023D0" w:rsidRPr="00F023D0" w:rsidRDefault="00F023D0" w:rsidP="00F023D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609585F6" w14:textId="113514E1" w:rsidR="00836CA6" w:rsidRDefault="00836CA6" w:rsidP="00330B3F">
      <w:pPr>
        <w:rPr>
          <w:lang w:val="en-US"/>
        </w:rPr>
      </w:pPr>
    </w:p>
    <w:sectPr w:rsidR="00836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29D4" w14:textId="77777777" w:rsidR="0087057C" w:rsidRDefault="0087057C" w:rsidP="00573C7B">
      <w:pPr>
        <w:spacing w:after="0" w:line="240" w:lineRule="auto"/>
      </w:pPr>
      <w:r>
        <w:separator/>
      </w:r>
    </w:p>
  </w:endnote>
  <w:endnote w:type="continuationSeparator" w:id="0">
    <w:p w14:paraId="174F23A9" w14:textId="77777777" w:rsidR="0087057C" w:rsidRDefault="0087057C" w:rsidP="0057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DEF0" w14:textId="77777777" w:rsidR="0087057C" w:rsidRDefault="0087057C" w:rsidP="00573C7B">
      <w:pPr>
        <w:spacing w:after="0" w:line="240" w:lineRule="auto"/>
      </w:pPr>
      <w:r>
        <w:separator/>
      </w:r>
    </w:p>
  </w:footnote>
  <w:footnote w:type="continuationSeparator" w:id="0">
    <w:p w14:paraId="50E6015D" w14:textId="77777777" w:rsidR="0087057C" w:rsidRDefault="0087057C" w:rsidP="00573C7B">
      <w:pPr>
        <w:spacing w:after="0" w:line="240" w:lineRule="auto"/>
      </w:pPr>
      <w:r>
        <w:continuationSeparator/>
      </w:r>
    </w:p>
  </w:footnote>
  <w:footnote w:id="1">
    <w:p w14:paraId="0B89EF6F" w14:textId="5121122D" w:rsidR="007A70A8" w:rsidRPr="007A70A8" w:rsidRDefault="007A70A8" w:rsidP="007F1D7F">
      <w:pPr>
        <w:spacing w:after="0" w:line="240" w:lineRule="auto"/>
        <w:rPr>
          <w:sz w:val="16"/>
          <w:szCs w:val="16"/>
          <w:lang w:val="en-US"/>
        </w:rPr>
      </w:pPr>
      <w:r>
        <w:rPr>
          <w:rStyle w:val="Refdenotaalpie"/>
        </w:rPr>
        <w:footnoteRef/>
      </w:r>
      <w:r w:rsidRPr="007A70A8">
        <w:rPr>
          <w:lang w:val="en-US"/>
        </w:rPr>
        <w:t xml:space="preserve"> </w:t>
      </w:r>
      <w:r w:rsidR="0061096E">
        <w:rPr>
          <w:sz w:val="16"/>
          <w:szCs w:val="16"/>
          <w:lang w:val="en-US"/>
        </w:rPr>
        <w:t>In</w:t>
      </w:r>
      <w:r w:rsidR="004F00D2">
        <w:rPr>
          <w:sz w:val="16"/>
          <w:szCs w:val="16"/>
          <w:lang w:val="en-US"/>
        </w:rPr>
        <w:t>:</w:t>
      </w:r>
      <w:r w:rsidRPr="007A70A8">
        <w:rPr>
          <w:sz w:val="16"/>
          <w:szCs w:val="16"/>
          <w:lang w:val="en-US"/>
        </w:rPr>
        <w:t xml:space="preserve"> U</w:t>
      </w:r>
      <w:r>
        <w:rPr>
          <w:sz w:val="16"/>
          <w:szCs w:val="16"/>
          <w:lang w:val="en-US"/>
        </w:rPr>
        <w:t>nited Nations</w:t>
      </w:r>
      <w:r w:rsidRPr="007A70A8">
        <w:rPr>
          <w:sz w:val="16"/>
          <w:szCs w:val="16"/>
          <w:lang w:val="en-US"/>
        </w:rPr>
        <w:t xml:space="preserve"> 2° International Conference on Open Science </w:t>
      </w:r>
      <w:r>
        <w:rPr>
          <w:sz w:val="16"/>
          <w:szCs w:val="16"/>
          <w:lang w:val="en-US"/>
        </w:rPr>
        <w:t>publication “Open Science for Climate Action”</w:t>
      </w:r>
      <w:r w:rsidRPr="007A70A8">
        <w:rPr>
          <w:sz w:val="16"/>
          <w:szCs w:val="16"/>
          <w:lang w:val="en-US"/>
        </w:rPr>
        <w:t>, 2021</w:t>
      </w:r>
      <w:r>
        <w:rPr>
          <w:sz w:val="16"/>
          <w:szCs w:val="16"/>
          <w:lang w:val="en-US"/>
        </w:rPr>
        <w:t xml:space="preserve">, </w:t>
      </w:r>
      <w:r w:rsidRPr="007A70A8">
        <w:rPr>
          <w:sz w:val="16"/>
          <w:szCs w:val="16"/>
          <w:lang w:val="en-US"/>
        </w:rPr>
        <w:t>https://www.un.org/sites/un2.un.org/files/open_science_for_climate_action_final.pdf</w:t>
      </w:r>
    </w:p>
  </w:footnote>
  <w:footnote w:id="2">
    <w:p w14:paraId="1DE1A2B6" w14:textId="70BF4595" w:rsidR="007F1D7F" w:rsidRPr="007F1D7F" w:rsidRDefault="007F1D7F" w:rsidP="007F1D7F">
      <w:pPr>
        <w:pStyle w:val="Textonotapie"/>
        <w:rPr>
          <w:sz w:val="16"/>
          <w:szCs w:val="16"/>
          <w:lang w:val="en-US"/>
        </w:rPr>
      </w:pPr>
      <w:r>
        <w:rPr>
          <w:rStyle w:val="Refdenotaalpie"/>
        </w:rPr>
        <w:footnoteRef/>
      </w:r>
      <w:r w:rsidRPr="007F1D7F">
        <w:rPr>
          <w:lang w:val="en-US"/>
        </w:rPr>
        <w:t xml:space="preserve"> </w:t>
      </w:r>
      <w:r w:rsidRPr="007F1D7F">
        <w:rPr>
          <w:sz w:val="16"/>
          <w:szCs w:val="16"/>
          <w:lang w:val="en-US"/>
        </w:rPr>
        <w:t>Open Science Advisor at CLACSO-Latin American Council of Social Sciences</w:t>
      </w:r>
      <w:r w:rsidR="00941797">
        <w:rPr>
          <w:sz w:val="16"/>
          <w:szCs w:val="16"/>
          <w:lang w:val="en-US"/>
        </w:rPr>
        <w:t xml:space="preserve">. ORCID </w:t>
      </w:r>
      <w:r w:rsidR="00941797" w:rsidRPr="00941797">
        <w:rPr>
          <w:sz w:val="16"/>
          <w:szCs w:val="16"/>
          <w:lang w:val="en-US"/>
        </w:rPr>
        <w:t>0000-0002-5752-7060</w:t>
      </w:r>
    </w:p>
  </w:footnote>
  <w:footnote w:id="3">
    <w:p w14:paraId="55606657" w14:textId="40CA8167" w:rsidR="007F1D7F" w:rsidRPr="00941797" w:rsidRDefault="007F1D7F" w:rsidP="007F1D7F">
      <w:pPr>
        <w:pStyle w:val="Textonotapie"/>
        <w:rPr>
          <w:sz w:val="16"/>
          <w:szCs w:val="16"/>
          <w:lang w:val="en-US"/>
        </w:rPr>
      </w:pPr>
      <w:r w:rsidRPr="007F1D7F">
        <w:rPr>
          <w:rStyle w:val="Refdenotaalpie"/>
          <w:sz w:val="16"/>
          <w:szCs w:val="16"/>
        </w:rPr>
        <w:footnoteRef/>
      </w:r>
      <w:r w:rsidRPr="007F1D7F">
        <w:rPr>
          <w:sz w:val="16"/>
          <w:szCs w:val="16"/>
          <w:lang w:val="en-US"/>
        </w:rPr>
        <w:t xml:space="preserve"> Coordinator of the Latin American Forum on Research Assessment (FOLEC-CLACSO)</w:t>
      </w:r>
      <w:r w:rsidR="00941797">
        <w:rPr>
          <w:sz w:val="16"/>
          <w:szCs w:val="16"/>
          <w:lang w:val="en-US"/>
        </w:rPr>
        <w:t xml:space="preserve">. ORCID </w:t>
      </w:r>
      <w:r w:rsidR="00941797" w:rsidRPr="00941797">
        <w:rPr>
          <w:sz w:val="16"/>
          <w:szCs w:val="16"/>
          <w:lang w:val="en-US"/>
        </w:rPr>
        <w:t>0000-0001-7059-149X</w:t>
      </w:r>
    </w:p>
  </w:footnote>
  <w:footnote w:id="4">
    <w:p w14:paraId="1616FCA6" w14:textId="191DDDA0" w:rsidR="00573C7B" w:rsidRPr="007A70A8" w:rsidRDefault="00573C7B">
      <w:pPr>
        <w:pStyle w:val="Textonotapie"/>
        <w:rPr>
          <w:sz w:val="16"/>
          <w:szCs w:val="16"/>
          <w:lang w:val="en-US"/>
        </w:rPr>
      </w:pPr>
      <w:r>
        <w:rPr>
          <w:rStyle w:val="Refdenotaalpie"/>
        </w:rPr>
        <w:footnoteRef/>
      </w:r>
      <w:r w:rsidRPr="007A70A8">
        <w:rPr>
          <w:lang w:val="en-US"/>
        </w:rPr>
        <w:t xml:space="preserve"> </w:t>
      </w:r>
      <w:r w:rsidRPr="007A70A8">
        <w:rPr>
          <w:sz w:val="16"/>
          <w:szCs w:val="16"/>
          <w:lang w:val="en-US"/>
        </w:rPr>
        <w:t>https://wellcome.org/sites/default/files/covid19-open-access-letter.pdf</w:t>
      </w:r>
    </w:p>
  </w:footnote>
  <w:footnote w:id="5">
    <w:p w14:paraId="68FDE235" w14:textId="47C07316" w:rsidR="00AB0FDE" w:rsidRPr="0061096E" w:rsidRDefault="00BA2803">
      <w:pPr>
        <w:pStyle w:val="Textonotapie"/>
        <w:rPr>
          <w:sz w:val="16"/>
          <w:szCs w:val="16"/>
          <w:lang w:val="en-US"/>
        </w:rPr>
      </w:pPr>
      <w:r>
        <w:rPr>
          <w:rStyle w:val="Refdenotaalpie"/>
        </w:rPr>
        <w:footnoteRef/>
      </w:r>
      <w:r w:rsidRPr="0061096E">
        <w:rPr>
          <w:lang w:val="en-US"/>
        </w:rPr>
        <w:t xml:space="preserve"> </w:t>
      </w:r>
      <w:hyperlink r:id="rId1" w:history="1">
        <w:r w:rsidR="00AB0FDE" w:rsidRPr="0061096E">
          <w:rPr>
            <w:rStyle w:val="Hipervnculo"/>
            <w:sz w:val="16"/>
            <w:szCs w:val="16"/>
            <w:lang w:val="en-US"/>
          </w:rPr>
          <w:t>http://www.unesco.org/new/en/communication-and-information/portals-and-platforms/go</w:t>
        </w:r>
      </w:hyperlink>
    </w:p>
    <w:p w14:paraId="6A5ED41F" w14:textId="5083BD31" w:rsidR="00BA2803" w:rsidRPr="00AB0FDE" w:rsidRDefault="00BA2803">
      <w:pPr>
        <w:pStyle w:val="Textonotapie"/>
        <w:rPr>
          <w:sz w:val="16"/>
          <w:szCs w:val="16"/>
          <w:lang w:val="en-US"/>
        </w:rPr>
      </w:pPr>
      <w:r w:rsidRPr="00AB0FDE">
        <w:rPr>
          <w:sz w:val="16"/>
          <w:szCs w:val="16"/>
          <w:lang w:val="en-US"/>
        </w:rPr>
        <w:t>ap/access-by-region/</w:t>
      </w:r>
      <w:proofErr w:type="spellStart"/>
      <w:r w:rsidRPr="00AB0FDE">
        <w:rPr>
          <w:sz w:val="16"/>
          <w:szCs w:val="16"/>
          <w:lang w:val="en-US"/>
        </w:rPr>
        <w:t>latin</w:t>
      </w:r>
      <w:proofErr w:type="spellEnd"/>
      <w:r w:rsidRPr="00AB0FDE">
        <w:rPr>
          <w:sz w:val="16"/>
          <w:szCs w:val="16"/>
          <w:lang w:val="en-US"/>
        </w:rPr>
        <w:t>-</w:t>
      </w:r>
      <w:proofErr w:type="spellStart"/>
      <w:r w:rsidRPr="00AB0FDE">
        <w:rPr>
          <w:sz w:val="16"/>
          <w:szCs w:val="16"/>
          <w:lang w:val="en-US"/>
        </w:rPr>
        <w:t>america</w:t>
      </w:r>
      <w:proofErr w:type="spellEnd"/>
      <w:r w:rsidRPr="00AB0FDE">
        <w:rPr>
          <w:sz w:val="16"/>
          <w:szCs w:val="16"/>
          <w:lang w:val="en-US"/>
        </w:rPr>
        <w:t>-and-the-</w:t>
      </w:r>
      <w:proofErr w:type="spellStart"/>
      <w:r w:rsidRPr="00AB0FDE">
        <w:rPr>
          <w:sz w:val="16"/>
          <w:szCs w:val="16"/>
          <w:lang w:val="en-US"/>
        </w:rPr>
        <w:t>caribbean</w:t>
      </w:r>
      <w:proofErr w:type="spellEnd"/>
      <w:r w:rsidRPr="00AB0FDE">
        <w:rPr>
          <w:sz w:val="16"/>
          <w:szCs w:val="16"/>
          <w:lang w:val="en-US"/>
        </w:rPr>
        <w:t>/</w:t>
      </w:r>
    </w:p>
  </w:footnote>
  <w:footnote w:id="6">
    <w:p w14:paraId="78A2C996" w14:textId="170F8B7E" w:rsidR="00E11134" w:rsidRPr="000A797E" w:rsidRDefault="00E11134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0A797E">
        <w:rPr>
          <w:lang w:val="en-US"/>
        </w:rPr>
        <w:t xml:space="preserve"> </w:t>
      </w:r>
      <w:r w:rsidRPr="000A797E">
        <w:rPr>
          <w:sz w:val="16"/>
          <w:szCs w:val="16"/>
          <w:lang w:val="en-US"/>
        </w:rPr>
        <w:t>https://figshare.com/articles/presentation/Research_is_also_for_non_scholars_Lessons_from_Latin_America/3187551</w:t>
      </w:r>
    </w:p>
  </w:footnote>
  <w:footnote w:id="7">
    <w:p w14:paraId="30558680" w14:textId="2C694CB4" w:rsidR="004230AE" w:rsidRPr="003755BC" w:rsidRDefault="004230AE" w:rsidP="004230AE">
      <w:pPr>
        <w:pStyle w:val="Ttulo1"/>
        <w:shd w:val="clear" w:color="auto" w:fill="FFFFFF"/>
        <w:spacing w:before="0" w:after="420"/>
        <w:rPr>
          <w:sz w:val="16"/>
          <w:szCs w:val="16"/>
          <w:lang w:val="en-US"/>
        </w:rPr>
      </w:pPr>
      <w:r w:rsidRPr="003755BC"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val="en-US"/>
        </w:rPr>
        <w:footnoteRef/>
      </w:r>
      <w:r w:rsidRPr="003755BC"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val="en-US"/>
        </w:rPr>
        <w:t xml:space="preserve"> See </w:t>
      </w:r>
      <w:proofErr w:type="spellStart"/>
      <w:r w:rsidRPr="003755BC"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val="en-US"/>
        </w:rPr>
        <w:t>Ráfols</w:t>
      </w:r>
      <w:proofErr w:type="spellEnd"/>
      <w:r w:rsidRPr="003755BC"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val="en-US"/>
        </w:rPr>
        <w:t>, Ismael (2021). Consensus and dissensus in ‘mappings’ of science for Sustainable Development Goals (SDGs).  http://strings.org.uk/consensus-and-dissensus-in-mappings-of-science-for-sustainable-development-goals-sdgs/</w:t>
      </w:r>
    </w:p>
  </w:footnote>
  <w:footnote w:id="8">
    <w:p w14:paraId="16146F17" w14:textId="64CC4401" w:rsidR="00AD57E6" w:rsidRPr="003755BC" w:rsidRDefault="00AD57E6" w:rsidP="00AD57E6">
      <w:pPr>
        <w:pStyle w:val="Default"/>
        <w:rPr>
          <w:rFonts w:asciiTheme="minorHAnsi" w:hAnsiTheme="minorHAnsi" w:cstheme="minorBidi"/>
          <w:color w:val="000000" w:themeColor="text1"/>
          <w:sz w:val="16"/>
          <w:szCs w:val="16"/>
          <w:lang w:val="en-US"/>
        </w:rPr>
      </w:pPr>
      <w:r>
        <w:rPr>
          <w:rStyle w:val="Refdenotaalpie"/>
        </w:rPr>
        <w:footnoteRef/>
      </w:r>
      <w:r w:rsidRPr="00AD57E6">
        <w:rPr>
          <w:lang w:val="en-US"/>
        </w:rPr>
        <w:t xml:space="preserve"> </w:t>
      </w:r>
      <w:r w:rsidRPr="003755BC">
        <w:rPr>
          <w:rFonts w:asciiTheme="minorHAnsi" w:hAnsiTheme="minorHAnsi" w:cstheme="minorBidi"/>
          <w:color w:val="000000" w:themeColor="text1"/>
          <w:sz w:val="16"/>
          <w:szCs w:val="16"/>
          <w:lang w:val="en-US"/>
        </w:rPr>
        <w:t xml:space="preserve">Science Europe (2020). Science Europe Study on Research Assessment Practices. Technopolis Groups. </w:t>
      </w:r>
    </w:p>
    <w:p w14:paraId="66B885C4" w14:textId="28F690F6" w:rsidR="00AD57E6" w:rsidRPr="00AD57E6" w:rsidRDefault="00AD57E6" w:rsidP="00AD57E6">
      <w:pPr>
        <w:pStyle w:val="Textonotapie"/>
        <w:rPr>
          <w:lang w:val="en-US"/>
        </w:rPr>
      </w:pPr>
      <w:r w:rsidRPr="003755BC">
        <w:rPr>
          <w:color w:val="000000" w:themeColor="text1"/>
          <w:sz w:val="16"/>
          <w:szCs w:val="16"/>
          <w:lang w:val="en-US"/>
        </w:rPr>
        <w:t>Final Report https://www.scienceeurope.org/media/fmdihoqy/se-study-on-research-assessment-practices-report.pdf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2CA7"/>
    <w:multiLevelType w:val="hybridMultilevel"/>
    <w:tmpl w:val="12303E1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448C6"/>
    <w:multiLevelType w:val="hybridMultilevel"/>
    <w:tmpl w:val="07ACC3BE"/>
    <w:lvl w:ilvl="0" w:tplc="A83C7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97263">
    <w:abstractNumId w:val="1"/>
  </w:num>
  <w:num w:numId="2" w16cid:durableId="43209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3F"/>
    <w:rsid w:val="000700E9"/>
    <w:rsid w:val="00090D3A"/>
    <w:rsid w:val="000A797E"/>
    <w:rsid w:val="0016234C"/>
    <w:rsid w:val="0017020F"/>
    <w:rsid w:val="00210FEF"/>
    <w:rsid w:val="00226D4D"/>
    <w:rsid w:val="002B4CA1"/>
    <w:rsid w:val="00312A72"/>
    <w:rsid w:val="00330B3F"/>
    <w:rsid w:val="003755BC"/>
    <w:rsid w:val="003F3307"/>
    <w:rsid w:val="004230AE"/>
    <w:rsid w:val="00431091"/>
    <w:rsid w:val="00431DE4"/>
    <w:rsid w:val="004825F9"/>
    <w:rsid w:val="004A2B10"/>
    <w:rsid w:val="004F00D2"/>
    <w:rsid w:val="00500344"/>
    <w:rsid w:val="00545842"/>
    <w:rsid w:val="00573C7B"/>
    <w:rsid w:val="0061096E"/>
    <w:rsid w:val="00627BB3"/>
    <w:rsid w:val="0072594F"/>
    <w:rsid w:val="00777AE7"/>
    <w:rsid w:val="007A70A8"/>
    <w:rsid w:val="007E4667"/>
    <w:rsid w:val="007F1D7F"/>
    <w:rsid w:val="00836CA6"/>
    <w:rsid w:val="00857F24"/>
    <w:rsid w:val="0087057C"/>
    <w:rsid w:val="00894896"/>
    <w:rsid w:val="008E59A0"/>
    <w:rsid w:val="009069C5"/>
    <w:rsid w:val="00941797"/>
    <w:rsid w:val="00A2298E"/>
    <w:rsid w:val="00A421AC"/>
    <w:rsid w:val="00AB0FDE"/>
    <w:rsid w:val="00AC75C9"/>
    <w:rsid w:val="00AD57E6"/>
    <w:rsid w:val="00AE43E2"/>
    <w:rsid w:val="00B57E45"/>
    <w:rsid w:val="00B849B5"/>
    <w:rsid w:val="00BA2803"/>
    <w:rsid w:val="00BB673C"/>
    <w:rsid w:val="00C62757"/>
    <w:rsid w:val="00CE5412"/>
    <w:rsid w:val="00D36D6C"/>
    <w:rsid w:val="00D5636F"/>
    <w:rsid w:val="00DA2CB0"/>
    <w:rsid w:val="00E11134"/>
    <w:rsid w:val="00E779C3"/>
    <w:rsid w:val="00F023D0"/>
    <w:rsid w:val="00F4798B"/>
    <w:rsid w:val="00F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1CD5"/>
  <w15:chartTrackingRefBased/>
  <w15:docId w15:val="{FD53CA11-DEE5-4004-AC1D-41ADCFF1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B3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3C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3C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3C7B"/>
    <w:rPr>
      <w:vertAlign w:val="superscript"/>
    </w:rPr>
  </w:style>
  <w:style w:type="paragraph" w:customStyle="1" w:styleId="Default">
    <w:name w:val="Default"/>
    <w:rsid w:val="00F4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B0F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0FD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4A2B1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2B10"/>
  </w:style>
  <w:style w:type="character" w:customStyle="1" w:styleId="Ttulo1Car">
    <w:name w:val="Título 1 Car"/>
    <w:basedOn w:val="Fuentedeprrafopredeter"/>
    <w:link w:val="Ttulo1"/>
    <w:uiPriority w:val="9"/>
    <w:rsid w:val="00423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941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new/en/communication-and-information/portals-and-platforms/g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F803-4FDA-4D68-AB4B-20ED4F26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Dominique Babini</cp:lastModifiedBy>
  <cp:revision>5</cp:revision>
  <dcterms:created xsi:type="dcterms:W3CDTF">2021-06-29T17:54:00Z</dcterms:created>
  <dcterms:modified xsi:type="dcterms:W3CDTF">2022-04-30T15:54:00Z</dcterms:modified>
</cp:coreProperties>
</file>