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6EC" w:rsidRPr="00FC3D96" w:rsidRDefault="00FC3D96" w:rsidP="004316EC">
      <w:pPr>
        <w:pStyle w:val="NormaleWeb"/>
        <w:spacing w:before="0" w:beforeAutospacing="0" w:after="0" w:afterAutospacing="0"/>
        <w:rPr>
          <w:b/>
          <w:color w:val="374151"/>
          <w:sz w:val="32"/>
          <w:szCs w:val="32"/>
        </w:rPr>
      </w:pPr>
      <w:r w:rsidRPr="00FC3D96">
        <w:rPr>
          <w:b/>
          <w:color w:val="374151"/>
          <w:sz w:val="32"/>
          <w:szCs w:val="32"/>
        </w:rPr>
        <w:t xml:space="preserve">Il prestito digitale di </w:t>
      </w:r>
      <w:proofErr w:type="spellStart"/>
      <w:r w:rsidRPr="00FC3D96">
        <w:rPr>
          <w:b/>
          <w:color w:val="374151"/>
          <w:sz w:val="32"/>
          <w:szCs w:val="32"/>
        </w:rPr>
        <w:t>ebook</w:t>
      </w:r>
      <w:proofErr w:type="spellEnd"/>
      <w:r w:rsidRPr="00FC3D96">
        <w:rPr>
          <w:b/>
          <w:color w:val="374151"/>
          <w:sz w:val="32"/>
          <w:szCs w:val="32"/>
        </w:rPr>
        <w:t xml:space="preserve"> tra iniziative europee, situazione italiana e prospettive dalla proposta di legge USA </w:t>
      </w:r>
    </w:p>
    <w:p w:rsidR="00FC3D96" w:rsidRDefault="00FC3D96" w:rsidP="004316EC">
      <w:pPr>
        <w:pStyle w:val="NormaleWeb"/>
        <w:spacing w:before="0" w:beforeAutospacing="0" w:after="0" w:afterAutospacing="0"/>
      </w:pPr>
    </w:p>
    <w:p w:rsidR="0021108B" w:rsidRPr="0021108B" w:rsidRDefault="0021108B" w:rsidP="004316EC">
      <w:pPr>
        <w:pStyle w:val="NormaleWeb"/>
        <w:spacing w:before="0" w:beforeAutospacing="0" w:after="0" w:afterAutospacing="0"/>
        <w:rPr>
          <w:i/>
        </w:rPr>
      </w:pPr>
      <w:proofErr w:type="gramStart"/>
      <w:r w:rsidRPr="0021108B">
        <w:rPr>
          <w:i/>
        </w:rPr>
        <w:t>di</w:t>
      </w:r>
      <w:proofErr w:type="gramEnd"/>
      <w:r w:rsidRPr="0021108B">
        <w:rPr>
          <w:i/>
        </w:rPr>
        <w:t xml:space="preserve"> Antonella De Robbio</w:t>
      </w:r>
    </w:p>
    <w:p w:rsidR="0021108B" w:rsidRPr="004316EC" w:rsidRDefault="0021108B" w:rsidP="004316EC">
      <w:pPr>
        <w:pStyle w:val="NormaleWeb"/>
        <w:spacing w:before="0" w:beforeAutospacing="0" w:after="0" w:afterAutospacing="0"/>
      </w:pPr>
    </w:p>
    <w:p w:rsidR="004316EC" w:rsidRPr="004316EC" w:rsidRDefault="004316EC" w:rsidP="004316EC">
      <w:pPr>
        <w:pStyle w:val="NormaleWeb"/>
        <w:spacing w:before="0" w:beforeAutospacing="0" w:after="0" w:afterAutospacing="0"/>
        <w:jc w:val="both"/>
      </w:pPr>
      <w:r w:rsidRPr="004316EC">
        <w:t xml:space="preserve">Nel panorama europeo dell’accesso alla conoscenza, il programma </w:t>
      </w:r>
      <w:hyperlink r:id="rId4" w:history="1">
        <w:r w:rsidRPr="004316EC">
          <w:rPr>
            <w:rStyle w:val="Collegamentoipertestuale"/>
            <w:i/>
          </w:rPr>
          <w:t xml:space="preserve">Knowledge </w:t>
        </w:r>
        <w:proofErr w:type="spellStart"/>
        <w:r w:rsidRPr="004316EC">
          <w:rPr>
            <w:rStyle w:val="Collegamentoipertestuale"/>
            <w:i/>
          </w:rPr>
          <w:t>Rights</w:t>
        </w:r>
        <w:proofErr w:type="spellEnd"/>
        <w:r w:rsidRPr="004316EC">
          <w:rPr>
            <w:rStyle w:val="Collegamentoipertestuale"/>
            <w:i/>
          </w:rPr>
          <w:t xml:space="preserve"> 21 (KR21)</w:t>
        </w:r>
      </w:hyperlink>
      <w:r w:rsidRPr="004316EC">
        <w:t xml:space="preserve"> si distingue per il suo impegno a favore di una riforma delle normative sul diritto d’autore, con l’obiettivo di garantire che biblioteche, archivi e istituzioni educative possano continuare a svolgere il loro ruolo anche nell’era digitale. Sostenuto dalla </w:t>
      </w:r>
      <w:hyperlink r:id="rId5" w:history="1">
        <w:proofErr w:type="spellStart"/>
        <w:r w:rsidRPr="004316EC">
          <w:rPr>
            <w:rStyle w:val="Collegamentoipertestuale"/>
            <w:i/>
          </w:rPr>
          <w:t>Stichting</w:t>
        </w:r>
        <w:proofErr w:type="spellEnd"/>
        <w:r w:rsidRPr="004316EC">
          <w:rPr>
            <w:rStyle w:val="Collegamentoipertestuale"/>
            <w:i/>
          </w:rPr>
          <w:t xml:space="preserve"> IFLA Foundation</w:t>
        </w:r>
      </w:hyperlink>
      <w:r w:rsidRPr="004316EC">
        <w:rPr>
          <w:i/>
        </w:rPr>
        <w:t>,</w:t>
      </w:r>
      <w:r w:rsidRPr="004316EC">
        <w:t xml:space="preserve"> KR21 interviene su tematiche cruciali come copyright, scienza aperta, patrimonio culturale e intelligenza artificiale, promuovendo un accesso equo e sostenibile alla conoscenza. Il focus sul </w:t>
      </w:r>
      <w:r w:rsidRPr="0011767F">
        <w:rPr>
          <w:rStyle w:val="Enfasigrassetto"/>
          <w:b w:val="0"/>
        </w:rPr>
        <w:t xml:space="preserve">prestito digitale di </w:t>
      </w:r>
      <w:proofErr w:type="spellStart"/>
      <w:r w:rsidRPr="0011767F">
        <w:rPr>
          <w:rStyle w:val="Enfasigrassetto"/>
          <w:b w:val="0"/>
        </w:rPr>
        <w:t>ebook</w:t>
      </w:r>
      <w:proofErr w:type="spellEnd"/>
      <w:r w:rsidRPr="0011767F">
        <w:rPr>
          <w:rStyle w:val="Enfasigrassetto"/>
          <w:b w:val="0"/>
        </w:rPr>
        <w:t xml:space="preserve"> da parte delle biblioteche</w:t>
      </w:r>
      <w:r w:rsidRPr="004316EC">
        <w:t xml:space="preserve"> si colloca all’interno di una cornice europea nella quale permangono incertezze normative, vincoli contrattuali e barriere tecnologiche. Mentre la </w:t>
      </w:r>
      <w:hyperlink r:id="rId6" w:history="1">
        <w:r w:rsidRPr="004316EC">
          <w:rPr>
            <w:rStyle w:val="Collegamentoipertestuale"/>
          </w:rPr>
          <w:t>sentenza della Corte di Giustizia dell’Unione Europea (</w:t>
        </w:r>
        <w:r w:rsidRPr="00357359">
          <w:rPr>
            <w:rStyle w:val="Collegamentoipertestuale"/>
            <w:i/>
          </w:rPr>
          <w:t xml:space="preserve">C-174/15 – VOB v </w:t>
        </w:r>
        <w:proofErr w:type="spellStart"/>
        <w:r w:rsidRPr="00357359">
          <w:rPr>
            <w:rStyle w:val="Collegamentoipertestuale"/>
            <w:i/>
          </w:rPr>
          <w:t>Stichting</w:t>
        </w:r>
        <w:proofErr w:type="spellEnd"/>
        <w:r w:rsidRPr="00357359">
          <w:rPr>
            <w:rStyle w:val="Collegamentoipertestuale"/>
            <w:i/>
          </w:rPr>
          <w:t xml:space="preserve"> </w:t>
        </w:r>
        <w:proofErr w:type="spellStart"/>
        <w:r w:rsidRPr="00357359">
          <w:rPr>
            <w:rStyle w:val="Collegamentoipertestuale"/>
            <w:i/>
          </w:rPr>
          <w:t>Leenrecht</w:t>
        </w:r>
        <w:proofErr w:type="spellEnd"/>
        <w:r w:rsidRPr="00357359">
          <w:rPr>
            <w:rStyle w:val="Collegamentoipertestuale"/>
            <w:i/>
          </w:rPr>
          <w:t>, 2016</w:t>
        </w:r>
        <w:r w:rsidRPr="004316EC">
          <w:rPr>
            <w:rStyle w:val="Collegamentoipertestuale"/>
          </w:rPr>
          <w:t>)</w:t>
        </w:r>
      </w:hyperlink>
      <w:r w:rsidRPr="004316EC">
        <w:t xml:space="preserve"> ha aperto alla possibilità di assimilare il prestito digitale di </w:t>
      </w:r>
      <w:r w:rsidR="0011767F">
        <w:t>un</w:t>
      </w:r>
      <w:r w:rsidRPr="004316EC">
        <w:t xml:space="preserve"> </w:t>
      </w:r>
      <w:proofErr w:type="spellStart"/>
      <w:r w:rsidRPr="004316EC">
        <w:t>ebook</w:t>
      </w:r>
      <w:proofErr w:type="spellEnd"/>
      <w:r w:rsidRPr="004316EC">
        <w:t xml:space="preserve"> al prestito fisico (</w:t>
      </w:r>
      <w:r w:rsidR="0011767F">
        <w:t>con</w:t>
      </w:r>
      <w:r w:rsidRPr="004316EC">
        <w:t xml:space="preserve"> numero limitato di copie in circolazione e sistemi DRM adeguati), la trasposizione concreta di questo principio nelle legislazioni e nei modelli contrattuali rimane disomogenea e problematica e comunque non favorevole per un modello equo di diritto alla conoscenza. KR21, tramite un’indagine mirata, non solo fotografa la situazione attuale del prestito digitale in Europa, ma contribuisce attivamente a immaginare un futuro in cui l’accesso alla conoscenza non sia ostacolato da barriere normative o commerciali, ma garantito come diritto fondamentale.</w:t>
      </w:r>
    </w:p>
    <w:p w:rsidR="004316EC" w:rsidRPr="004316EC" w:rsidRDefault="004316EC" w:rsidP="004316EC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316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 gli </w:t>
      </w:r>
      <w:proofErr w:type="spellStart"/>
      <w:r w:rsidRPr="004316EC">
        <w:rPr>
          <w:rFonts w:ascii="Times New Roman" w:eastAsia="Times New Roman" w:hAnsi="Times New Roman" w:cs="Times New Roman"/>
          <w:sz w:val="24"/>
          <w:szCs w:val="24"/>
          <w:lang w:eastAsia="it-IT"/>
        </w:rPr>
        <w:t>ebook</w:t>
      </w:r>
      <w:proofErr w:type="spellEnd"/>
      <w:r w:rsidRPr="004316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infatti, il </w:t>
      </w:r>
      <w:bookmarkStart w:id="0" w:name="_GoBack"/>
      <w:r w:rsidRPr="002B2B23">
        <w:rPr>
          <w:rFonts w:ascii="Times New Roman" w:eastAsia="Times New Roman" w:hAnsi="Times New Roman" w:cs="Times New Roman"/>
          <w:bCs/>
          <w:i/>
          <w:sz w:val="24"/>
          <w:szCs w:val="24"/>
          <w:lang w:eastAsia="it-IT"/>
        </w:rPr>
        <w:t>principio dell'esaurimento del diritto</w:t>
      </w:r>
      <w:bookmarkEnd w:id="0"/>
      <w:r w:rsidRPr="004316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è una pietra angolare sia nel diritto d’autore europeo, sia nel copyright statunitense - </w:t>
      </w:r>
      <w:r w:rsidRPr="004316EC">
        <w:rPr>
          <w:rFonts w:ascii="Times New Roman" w:hAnsi="Times New Roman" w:cs="Times New Roman"/>
          <w:sz w:val="24"/>
          <w:szCs w:val="24"/>
        </w:rPr>
        <w:t xml:space="preserve">dove è conosciuto come </w:t>
      </w:r>
      <w:r w:rsidR="00374F02" w:rsidRPr="00374F02">
        <w:rPr>
          <w:rStyle w:val="Enfasigrassetto"/>
          <w:rFonts w:ascii="Times New Roman" w:hAnsi="Times New Roman" w:cs="Times New Roman"/>
          <w:b w:val="0"/>
          <w:i/>
          <w:sz w:val="24"/>
          <w:szCs w:val="24"/>
        </w:rPr>
        <w:t xml:space="preserve">first-sale </w:t>
      </w:r>
      <w:proofErr w:type="spellStart"/>
      <w:r w:rsidR="00374F02" w:rsidRPr="00374F02">
        <w:rPr>
          <w:rStyle w:val="Enfasigrassetto"/>
          <w:rFonts w:ascii="Times New Roman" w:hAnsi="Times New Roman" w:cs="Times New Roman"/>
          <w:b w:val="0"/>
          <w:i/>
          <w:sz w:val="24"/>
          <w:szCs w:val="24"/>
        </w:rPr>
        <w:t>doctrine</w:t>
      </w:r>
      <w:proofErr w:type="spellEnd"/>
      <w:r w:rsidRPr="004316EC">
        <w:rPr>
          <w:rFonts w:ascii="Times New Roman" w:hAnsi="Times New Roman" w:cs="Times New Roman"/>
          <w:sz w:val="24"/>
          <w:szCs w:val="24"/>
        </w:rPr>
        <w:t xml:space="preserve">, codificato nella </w:t>
      </w:r>
      <w:hyperlink r:id="rId7" w:history="1">
        <w:r w:rsidRPr="004316EC">
          <w:rPr>
            <w:rStyle w:val="Collegamentoipertestuale"/>
            <w:rFonts w:ascii="Times New Roman" w:hAnsi="Times New Roman" w:cs="Times New Roman"/>
            <w:i/>
            <w:sz w:val="24"/>
            <w:szCs w:val="24"/>
          </w:rPr>
          <w:t xml:space="preserve">Sezione 109 del Copyright </w:t>
        </w:r>
        <w:proofErr w:type="spellStart"/>
        <w:r w:rsidRPr="004316EC">
          <w:rPr>
            <w:rStyle w:val="Collegamentoipertestuale"/>
            <w:rFonts w:ascii="Times New Roman" w:hAnsi="Times New Roman" w:cs="Times New Roman"/>
            <w:i/>
            <w:sz w:val="24"/>
            <w:szCs w:val="24"/>
          </w:rPr>
          <w:t>Act</w:t>
        </w:r>
        <w:proofErr w:type="spellEnd"/>
        <w:r w:rsidRPr="004316EC">
          <w:rPr>
            <w:rStyle w:val="Collegamentoipertestuale"/>
            <w:rFonts w:ascii="Times New Roman" w:hAnsi="Times New Roman" w:cs="Times New Roman"/>
            <w:i/>
            <w:sz w:val="24"/>
            <w:szCs w:val="24"/>
          </w:rPr>
          <w:t xml:space="preserve"> degli Stati Uniti (17 U.S.C. § 109</w:t>
        </w:r>
        <w:proofErr w:type="gramStart"/>
        <w:r w:rsidRPr="004316EC">
          <w:rPr>
            <w:rStyle w:val="Collegamentoipertestuale"/>
            <w:rFonts w:ascii="Times New Roman" w:hAnsi="Times New Roman" w:cs="Times New Roman"/>
            <w:i/>
            <w:sz w:val="24"/>
            <w:szCs w:val="24"/>
          </w:rPr>
          <w:t>)</w:t>
        </w:r>
      </w:hyperlink>
      <w:r w:rsidRPr="004316E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4316EC">
        <w:rPr>
          <w:rFonts w:ascii="Times New Roman" w:hAnsi="Times New Roman" w:cs="Times New Roman"/>
          <w:sz w:val="24"/>
          <w:szCs w:val="24"/>
        </w:rPr>
        <w:t xml:space="preserve"> Infatti La Camera del Connecticut ha approvato recentemente il </w:t>
      </w:r>
      <w:hyperlink r:id="rId8" w:history="1">
        <w:proofErr w:type="spellStart"/>
        <w:r w:rsidRPr="004316EC">
          <w:rPr>
            <w:rStyle w:val="Collegamentoipertestuale"/>
            <w:rFonts w:ascii="Times New Roman" w:hAnsi="Times New Roman" w:cs="Times New Roman"/>
            <w:sz w:val="24"/>
            <w:szCs w:val="24"/>
          </w:rPr>
          <w:t>Senate</w:t>
        </w:r>
        <w:proofErr w:type="spellEnd"/>
        <w:r w:rsidRPr="004316EC">
          <w:rPr>
            <w:rStyle w:val="Collegamentoipertestuale"/>
            <w:rFonts w:ascii="Times New Roman" w:hAnsi="Times New Roman" w:cs="Times New Roman"/>
            <w:sz w:val="24"/>
            <w:szCs w:val="24"/>
          </w:rPr>
          <w:t xml:space="preserve"> Bill </w:t>
        </w:r>
        <w:r w:rsidRPr="004316EC">
          <w:rPr>
            <w:rStyle w:val="Collegamentoipertestuale"/>
            <w:rFonts w:ascii="Times New Roman" w:hAnsi="Times New Roman" w:cs="Times New Roman"/>
            <w:sz w:val="24"/>
            <w:szCs w:val="24"/>
          </w:rPr>
          <w:t>1234</w:t>
        </w:r>
      </w:hyperlink>
      <w:r w:rsidRPr="004316EC">
        <w:rPr>
          <w:rFonts w:ascii="Times New Roman" w:hAnsi="Times New Roman" w:cs="Times New Roman"/>
          <w:sz w:val="24"/>
          <w:szCs w:val="24"/>
        </w:rPr>
        <w:t xml:space="preserve">, un disegno di legge volto a limitare le clausole contrattuali considerate onerose nei contratti di licenza per e-book e audiolibri delle biblioteche pubbliche. Il provvedimento affronta i costi elevati e le restrizioni imposte dagli editori, che spesso limitano nel tempo e nella quantità l'accesso ai titoli digitali. La nuova normativa vieterebbe le restrizioni combinate oggi comuni nei contratti di e-book, che </w:t>
      </w:r>
      <w:proofErr w:type="spellStart"/>
      <w:r w:rsidRPr="004316EC">
        <w:rPr>
          <w:rFonts w:ascii="Times New Roman" w:hAnsi="Times New Roman" w:cs="Times New Roman"/>
          <w:sz w:val="24"/>
          <w:szCs w:val="24"/>
        </w:rPr>
        <w:t>limitano</w:t>
      </w:r>
      <w:proofErr w:type="spellEnd"/>
      <w:r w:rsidRPr="004316EC">
        <w:rPr>
          <w:rFonts w:ascii="Times New Roman" w:hAnsi="Times New Roman" w:cs="Times New Roman"/>
          <w:sz w:val="24"/>
          <w:szCs w:val="24"/>
        </w:rPr>
        <w:t xml:space="preserve"> l’uso a 26 prestiti o due anni, costringendo le biblioteche a riacquistare continuamente i titoli come in un abbonamento oneroso e a termine. Tuttavia, la legge non sarà immediatamente applicabile: entrerà in vigore solo se altri stati, per un totale di almeno 7 milioni di abitanti, adotteranno misure simili. Il bibliotecario statale verificherà trimestralmente il raggiungimento di questa soglia.</w:t>
      </w:r>
    </w:p>
    <w:p w:rsidR="00AB2BA4" w:rsidRDefault="004316EC" w:rsidP="004316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316EC">
        <w:rPr>
          <w:rFonts w:ascii="Times New Roman" w:hAnsi="Times New Roman" w:cs="Times New Roman"/>
          <w:sz w:val="24"/>
          <w:szCs w:val="24"/>
        </w:rPr>
        <w:t>Ne</w:t>
      </w:r>
      <w:r w:rsidRPr="004316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 mondo cartaceo l’esaurimento del diritto </w:t>
      </w:r>
      <w:r w:rsidR="0011767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(ex art. 17 legge 633/1941, diritto di distribuzione) </w:t>
      </w:r>
      <w:r w:rsidRPr="004316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consente di prestare un libro o di rivenderlo, per esempio al mercatino dell’usato, senza ulteriori costi o permessi, ma nel digitale tale principio </w:t>
      </w:r>
      <w:r w:rsidRPr="00374F02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non trova applicazione</w:t>
      </w:r>
      <w:r w:rsidRPr="004316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  <w:r w:rsidR="0011767F" w:rsidRPr="0011767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sostanza </w:t>
      </w:r>
      <w:hyperlink r:id="rId9" w:history="1">
        <w:r w:rsidR="0011767F" w:rsidRPr="0011767F">
          <w:rPr>
            <w:rStyle w:val="Collegamentoipertestuale"/>
            <w:rFonts w:ascii="Times New Roman" w:eastAsia="Times New Roman" w:hAnsi="Times New Roman" w:cs="Times New Roman"/>
            <w:bCs/>
            <w:i/>
            <w:sz w:val="24"/>
            <w:szCs w:val="24"/>
            <w:lang w:eastAsia="it-IT"/>
          </w:rPr>
          <w:t>il diritto di distribuzione si esaurisce con il primo atto di vendita o di trasferimento ad altro titolo della proprietà all’interno di uno qualsiasi dei paesi membri della Comunità effettuato direttamente dal titolare del diritto</w:t>
        </w:r>
      </w:hyperlink>
      <w:r w:rsidR="0011767F" w:rsidRPr="0011767F">
        <w:rPr>
          <w:rFonts w:ascii="Times New Roman" w:eastAsia="Times New Roman" w:hAnsi="Times New Roman" w:cs="Times New Roman"/>
          <w:sz w:val="24"/>
          <w:szCs w:val="24"/>
          <w:lang w:eastAsia="it-IT"/>
        </w:rPr>
        <w:t>, cioè l’autore o il suo avente causa, o da altri con la sua autorizzazione. Esaurimento del diritto significa che i successivi atti di trasferimento o locazione di quelle specifiche copie dell’opera non saranno più soggetti ad autorizzazione da parte del titolare del diritto.</w:t>
      </w:r>
      <w:r w:rsidR="0011767F" w:rsidRPr="004316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11767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 contrario un </w:t>
      </w:r>
      <w:proofErr w:type="spellStart"/>
      <w:r w:rsidR="0011767F"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r w:rsidRPr="004316EC">
        <w:rPr>
          <w:rFonts w:ascii="Times New Roman" w:eastAsia="Times New Roman" w:hAnsi="Times New Roman" w:cs="Times New Roman"/>
          <w:sz w:val="24"/>
          <w:szCs w:val="24"/>
          <w:lang w:eastAsia="it-IT"/>
        </w:rPr>
        <w:t>book</w:t>
      </w:r>
      <w:proofErr w:type="spellEnd"/>
      <w:r w:rsidRPr="004316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non è considerato una copia materiale tangibile che cambia di mano, di conseguenza, le istituzioni non acquisiscono la piena propriet</w:t>
      </w:r>
      <w:r w:rsidR="0011767F">
        <w:rPr>
          <w:rFonts w:ascii="Times New Roman" w:eastAsia="Times New Roman" w:hAnsi="Times New Roman" w:cs="Times New Roman"/>
          <w:sz w:val="24"/>
          <w:szCs w:val="24"/>
          <w:lang w:eastAsia="it-IT"/>
        </w:rPr>
        <w:t>à della "copia" digitale dell'</w:t>
      </w:r>
      <w:proofErr w:type="spellStart"/>
      <w:r w:rsidR="0011767F"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r w:rsidRPr="004316EC">
        <w:rPr>
          <w:rFonts w:ascii="Times New Roman" w:eastAsia="Times New Roman" w:hAnsi="Times New Roman" w:cs="Times New Roman"/>
          <w:sz w:val="24"/>
          <w:szCs w:val="24"/>
          <w:lang w:eastAsia="it-IT"/>
        </w:rPr>
        <w:t>book</w:t>
      </w:r>
      <w:proofErr w:type="spellEnd"/>
      <w:r w:rsidRPr="004316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Acquistano invece </w:t>
      </w:r>
      <w:r w:rsidRPr="0011767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licenze d'uso</w:t>
      </w:r>
      <w:r w:rsidR="0011767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dagli editori o dai fornitori che </w:t>
      </w:r>
      <w:r w:rsidRPr="004316EC">
        <w:rPr>
          <w:rFonts w:ascii="Times New Roman" w:eastAsia="Times New Roman" w:hAnsi="Times New Roman" w:cs="Times New Roman"/>
          <w:sz w:val="24"/>
          <w:szCs w:val="24"/>
          <w:lang w:eastAsia="it-IT"/>
        </w:rPr>
        <w:t>definiscono le condizioni e la durata dell'accesso</w:t>
      </w:r>
      <w:r w:rsidR="0011767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della fruizione</w:t>
      </w:r>
      <w:r w:rsidRPr="004316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</w:p>
    <w:p w:rsidR="004316EC" w:rsidRPr="00AB2BA4" w:rsidRDefault="00AB2BA4" w:rsidP="00AB2B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hyperlink r:id="rId10" w:history="1">
        <w:r w:rsidRPr="00AB2BA4">
          <w:rPr>
            <w:rStyle w:val="Collegamentoipertestuale"/>
            <w:rFonts w:ascii="Times New Roman" w:eastAsia="Times New Roman" w:hAnsi="Times New Roman" w:cs="Times New Roman"/>
            <w:i/>
            <w:sz w:val="24"/>
            <w:szCs w:val="24"/>
            <w:lang w:eastAsia="it-IT"/>
          </w:rPr>
          <w:t xml:space="preserve">Con riferimento agli </w:t>
        </w:r>
        <w:proofErr w:type="spellStart"/>
        <w:r w:rsidRPr="00AB2BA4">
          <w:rPr>
            <w:rStyle w:val="Collegamentoipertestuale"/>
            <w:rFonts w:ascii="Times New Roman" w:eastAsia="Times New Roman" w:hAnsi="Times New Roman" w:cs="Times New Roman"/>
            <w:i/>
            <w:sz w:val="24"/>
            <w:szCs w:val="24"/>
            <w:lang w:eastAsia="it-IT"/>
          </w:rPr>
          <w:t>ebook</w:t>
        </w:r>
        <w:proofErr w:type="spellEnd"/>
        <w:r w:rsidRPr="00AB2BA4">
          <w:rPr>
            <w:rStyle w:val="Collegamentoipertestuale"/>
            <w:rFonts w:ascii="Times New Roman" w:eastAsia="Times New Roman" w:hAnsi="Times New Roman" w:cs="Times New Roman"/>
            <w:i/>
            <w:sz w:val="24"/>
            <w:szCs w:val="24"/>
            <w:lang w:eastAsia="it-IT"/>
          </w:rPr>
          <w:t>, non opera pertanto il principio dell’esaurimento</w:t>
        </w:r>
      </w:hyperlink>
      <w:r w:rsidRPr="00AB2BA4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, che si applica esclusivamente “alla distribuzione di opere incorporate in un supporto tangibile”. È quanto conclude la Corte di Giustizia nella sentenza del 19 dicembre 2019, causa C-263/18 (la “Sentenza”), al termine di un iter argomentativo che ha portato i giudici a soffermarsi sulla distinzione tra i concetti di comunicazione al pubblico e distribuzione di opere nel mondo digitale.</w:t>
      </w:r>
      <w:r w:rsidRPr="004316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4316EC" w:rsidRPr="004316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Anche quando si parla di "accesso perpetuo" per un </w:t>
      </w:r>
      <w:proofErr w:type="spellStart"/>
      <w:r w:rsidR="004316EC" w:rsidRPr="004316EC">
        <w:rPr>
          <w:rFonts w:ascii="Times New Roman" w:eastAsia="Times New Roman" w:hAnsi="Times New Roman" w:cs="Times New Roman"/>
          <w:sz w:val="24"/>
          <w:szCs w:val="24"/>
          <w:lang w:eastAsia="it-IT"/>
        </w:rPr>
        <w:t>ebook</w:t>
      </w:r>
      <w:proofErr w:type="spellEnd"/>
      <w:r w:rsidR="004316EC" w:rsidRPr="004316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accademico, non si intende un possesso definitivo del file digitale che la biblioteca può gestire autonomamente, magari caricandolo sui propri server e prestandolo </w:t>
      </w:r>
      <w:r w:rsidR="0011767F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liberamente, ma s</w:t>
      </w:r>
      <w:r w:rsidR="004316EC" w:rsidRPr="004316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tratta piuttosto di un </w:t>
      </w:r>
      <w:r w:rsidR="004316EC" w:rsidRPr="00AB2BA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diritto di accesso continuativo</w:t>
      </w:r>
      <w:r w:rsidR="004316EC" w:rsidRPr="004316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 contenuto, che rimane tipicamente ospitato sulla piattaforma dell'editore o di un distributore terzo, e la cui fruizione è regolata da clausole specifiche. Questa intrinseca </w:t>
      </w:r>
      <w:r w:rsidR="004316EC" w:rsidRPr="00AB2BA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dipendenza dai fornitori e dai termini di licenza</w:t>
      </w:r>
      <w:r w:rsidR="004316EC" w:rsidRPr="00AB2BA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genera significative </w:t>
      </w:r>
      <w:r w:rsidR="004316EC" w:rsidRPr="00AB2BA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asimmetrie nell'accesso alla conoscenza digitale</w:t>
      </w:r>
      <w:r w:rsidR="004316EC" w:rsidRPr="004316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Le biblioteche non hanno il controllo sul ciclo di vita della risorsa come lo avevano per il cartaceo, devono rinnovare licenze, negoziare costi e accettare termini che possono variare. Questo penalizza in modo specifico gli atenei con minori risorse economiche, che non possono permettersi di sottoscrivere un'ampia gamma di licenze per collezioni vaste e aggiornate o le biblioteche pubbliche. Il risultato è una </w:t>
      </w:r>
      <w:r w:rsidR="004316EC" w:rsidRPr="00AB2BA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distribuzione della conoscenza digitale che si rivela più diseguale</w:t>
      </w:r>
      <w:r w:rsidR="004316EC" w:rsidRPr="004316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rispetto a quanto accadeva con i libri cartacei, dove l'acquisto di una copia garantiva un accesso duraturo e incondizionato all'interno della biblioteca.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4316EC" w:rsidRPr="00AB2BA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La ricerca KR21 europea ha evidenziato come il </w:t>
      </w:r>
      <w:r w:rsidR="004316EC" w:rsidRPr="00AB2BA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prestito di </w:t>
      </w:r>
      <w:proofErr w:type="spellStart"/>
      <w:r w:rsidR="004316EC" w:rsidRPr="00AB2BA4">
        <w:rPr>
          <w:rFonts w:ascii="Times New Roman" w:eastAsia="Times New Roman" w:hAnsi="Times New Roman" w:cs="Times New Roman"/>
          <w:sz w:val="24"/>
          <w:szCs w:val="24"/>
          <w:lang w:eastAsia="it-IT"/>
        </w:rPr>
        <w:t>ebook</w:t>
      </w:r>
      <w:proofErr w:type="spellEnd"/>
      <w:r w:rsidR="004316EC" w:rsidRPr="00AB2BA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non sia oggi regolato da una norma esplicita nel diritto d’autore, lasciando ampio spazio alla contrattualizzazione privata con i detentori dei diritti, a scapito del principio di equità di accesso. </w:t>
      </w:r>
    </w:p>
    <w:p w:rsidR="00357359" w:rsidRPr="00AB2BA4" w:rsidRDefault="00AB2BA4" w:rsidP="0035735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357359">
        <w:rPr>
          <w:rFonts w:ascii="Times New Roman" w:eastAsia="Times New Roman" w:hAnsi="Times New Roman" w:cs="Times New Roman"/>
          <w:sz w:val="24"/>
          <w:szCs w:val="24"/>
          <w:lang w:eastAsia="it-IT"/>
        </w:rPr>
        <w:t>Nel</w:t>
      </w:r>
      <w:r w:rsidR="004316EC" w:rsidRPr="0035735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maggio scorso, </w:t>
      </w:r>
      <w:proofErr w:type="spellStart"/>
      <w:r w:rsidRPr="00357359">
        <w:rPr>
          <w:rFonts w:ascii="Times New Roman" w:eastAsia="Times New Roman" w:hAnsi="Times New Roman" w:cs="Times New Roman"/>
          <w:sz w:val="24"/>
          <w:szCs w:val="24"/>
          <w:lang w:eastAsia="it-IT"/>
        </w:rPr>
        <w:t>Wyber</w:t>
      </w:r>
      <w:proofErr w:type="spellEnd"/>
      <w:r w:rsidRPr="0035735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357359" w:rsidRPr="00357359">
        <w:rPr>
          <w:rFonts w:ascii="Times New Roman" w:eastAsia="Times New Roman" w:hAnsi="Times New Roman" w:cs="Times New Roman"/>
          <w:sz w:val="24"/>
          <w:szCs w:val="24"/>
          <w:lang w:eastAsia="it-IT"/>
        </w:rPr>
        <w:t>nel</w:t>
      </w:r>
      <w:r w:rsidR="004316EC" w:rsidRPr="0035735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blog </w:t>
      </w:r>
      <w:hyperlink r:id="rId11" w:history="1">
        <w:r w:rsidR="004316EC" w:rsidRPr="00D116BD">
          <w:rPr>
            <w:rStyle w:val="Collegamentoipertestuale"/>
            <w:rFonts w:ascii="Times New Roman" w:eastAsia="Times New Roman" w:hAnsi="Times New Roman" w:cs="Times New Roman"/>
            <w:i/>
            <w:sz w:val="24"/>
            <w:szCs w:val="24"/>
            <w:lang w:eastAsia="it-IT"/>
          </w:rPr>
          <w:t xml:space="preserve">Copyright </w:t>
        </w:r>
        <w:proofErr w:type="spellStart"/>
        <w:r w:rsidR="004316EC" w:rsidRPr="00D116BD">
          <w:rPr>
            <w:rStyle w:val="Collegamentoipertestuale"/>
            <w:rFonts w:ascii="Times New Roman" w:eastAsia="Times New Roman" w:hAnsi="Times New Roman" w:cs="Times New Roman"/>
            <w:i/>
            <w:sz w:val="24"/>
            <w:szCs w:val="24"/>
            <w:lang w:eastAsia="it-IT"/>
          </w:rPr>
          <w:t>against</w:t>
        </w:r>
        <w:proofErr w:type="spellEnd"/>
        <w:r w:rsidR="004316EC" w:rsidRPr="00D116BD">
          <w:rPr>
            <w:rStyle w:val="Collegamentoipertestuale"/>
            <w:rFonts w:ascii="Times New Roman" w:eastAsia="Times New Roman" w:hAnsi="Times New Roman" w:cs="Times New Roman"/>
            <w:i/>
            <w:sz w:val="24"/>
            <w:szCs w:val="24"/>
            <w:lang w:eastAsia="it-IT"/>
          </w:rPr>
          <w:t xml:space="preserve"> culture</w:t>
        </w:r>
        <w:r w:rsidR="004316EC" w:rsidRPr="00D116BD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it-IT"/>
          </w:rPr>
          <w:t xml:space="preserve"> </w:t>
        </w:r>
      </w:hyperlink>
      <w:r w:rsidR="004316EC" w:rsidRPr="0035735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ha </w:t>
      </w:r>
      <w:r w:rsidRPr="0035735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riportato lo studio in ambito KR21 che ha </w:t>
      </w:r>
      <w:r w:rsidR="004316EC" w:rsidRPr="00357359">
        <w:rPr>
          <w:rFonts w:ascii="Times New Roman" w:eastAsia="Times New Roman" w:hAnsi="Times New Roman" w:cs="Times New Roman"/>
          <w:sz w:val="24"/>
          <w:szCs w:val="24"/>
          <w:lang w:eastAsia="it-IT"/>
        </w:rPr>
        <w:t>analizzato 36 leggi bibliotecarie in 20 paesi europei, evidenziando un significativo disallineamento tra le missioni istituzionali assegnate alle biblioteche dalle normative nazionali e le limitazi</w:t>
      </w:r>
      <w:r w:rsidR="00357359" w:rsidRPr="0035735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oni imposte dal mercato degli </w:t>
      </w:r>
      <w:proofErr w:type="spellStart"/>
      <w:r w:rsidR="00357359" w:rsidRPr="00357359"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r w:rsidR="004316EC" w:rsidRPr="00357359">
        <w:rPr>
          <w:rFonts w:ascii="Times New Roman" w:eastAsia="Times New Roman" w:hAnsi="Times New Roman" w:cs="Times New Roman"/>
          <w:sz w:val="24"/>
          <w:szCs w:val="24"/>
          <w:lang w:eastAsia="it-IT"/>
        </w:rPr>
        <w:t>book</w:t>
      </w:r>
      <w:proofErr w:type="spellEnd"/>
      <w:r w:rsidR="004316EC" w:rsidRPr="00357359">
        <w:rPr>
          <w:rFonts w:ascii="Times New Roman" w:eastAsia="Times New Roman" w:hAnsi="Times New Roman" w:cs="Times New Roman"/>
          <w:sz w:val="24"/>
          <w:szCs w:val="24"/>
          <w:lang w:eastAsia="it-IT"/>
        </w:rPr>
        <w:t>, dove l’accesso da parte delle biblioteche resta vincolato alla discrezionalità dei titolari dei diritti. Il quadro che ne emerge è chiaro: molte</w:t>
      </w:r>
      <w:r w:rsidR="00357359" w:rsidRPr="0035735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leggi bibliotecarie nazionali -</w:t>
      </w:r>
      <w:r w:rsidR="004316EC" w:rsidRPr="0035735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compresa quella italiana, ma anche quelle di paesi co</w:t>
      </w:r>
      <w:r w:rsidR="00357359" w:rsidRPr="0035735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me Spagna, Estonia e Germania - </w:t>
      </w:r>
      <w:r w:rsidR="004316EC" w:rsidRPr="00357359">
        <w:rPr>
          <w:rFonts w:ascii="Times New Roman" w:eastAsia="Times New Roman" w:hAnsi="Times New Roman" w:cs="Times New Roman"/>
          <w:sz w:val="24"/>
          <w:szCs w:val="24"/>
          <w:lang w:eastAsia="it-IT"/>
        </w:rPr>
        <w:t>attribuiscono alle biblioteche un ruolo essenziale nella garanzia del diritto costituzionale all'informazione, all'inclusione e alla promozione culturale. Tuttavia, tali finalità rischiano di essere vanificate nel contesto digitale, dove</w:t>
      </w:r>
      <w:r w:rsidR="00357359" w:rsidRPr="0035735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 prestito e l’accesso agli </w:t>
      </w:r>
      <w:proofErr w:type="spellStart"/>
      <w:r w:rsidR="00357359" w:rsidRPr="00357359"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r w:rsidR="004316EC" w:rsidRPr="00357359">
        <w:rPr>
          <w:rFonts w:ascii="Times New Roman" w:eastAsia="Times New Roman" w:hAnsi="Times New Roman" w:cs="Times New Roman"/>
          <w:sz w:val="24"/>
          <w:szCs w:val="24"/>
          <w:lang w:eastAsia="it-IT"/>
        </w:rPr>
        <w:t>book</w:t>
      </w:r>
      <w:proofErr w:type="spellEnd"/>
      <w:r w:rsidR="004316EC" w:rsidRPr="0035735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non sono assicurati né da un obbligo di offerta né da un regime di eccezione efficace che consenta alle biblioteche di svolgere le proprie funzioni in modo indipendente e aggiornato. L’Italia, in particolare, pur riconoscendo nelle proprie leggi regionali e nazionali il ruolo sociale delle biblioteche e la necessità di una collezione pluralistica, si trova oggi in una situazione in cui l’accesso agli e-book è ostacolato da vincoli contrattuali, prezzi insostenibili e, talvolta, indisponibilità totale dei titoli. In questo senso, l’indagine comparativa promossa da KR21, che include casi emblematici come </w:t>
      </w:r>
      <w:r w:rsidR="00357359" w:rsidRPr="0035735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Italia, Spagna e Polonia - </w:t>
      </w:r>
      <w:r w:rsidR="004316EC" w:rsidRPr="00357359">
        <w:rPr>
          <w:rFonts w:ascii="Times New Roman" w:eastAsia="Times New Roman" w:hAnsi="Times New Roman" w:cs="Times New Roman"/>
          <w:sz w:val="24"/>
          <w:szCs w:val="24"/>
          <w:lang w:eastAsia="it-IT"/>
        </w:rPr>
        <w:t>dove si osservano dinamiche e risposte istituzionali differenti — costituisce un riferimento essenziale per riflettere su possibili evoluzioni legislative anche in Italia, orientate alla tutela dell'interesse pubblico nell’ecosistema digitale.</w:t>
      </w:r>
      <w:r w:rsidR="00357359">
        <w:t xml:space="preserve"> </w:t>
      </w:r>
      <w:r w:rsidR="00357359" w:rsidRPr="00AB2BA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Una delle iniziative </w:t>
      </w:r>
      <w:r w:rsidR="0035735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di </w:t>
      </w:r>
      <w:r w:rsidR="00357359" w:rsidRPr="00AB2BA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KR21 è</w:t>
      </w:r>
      <w:r w:rsidR="0035735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infatti</w:t>
      </w:r>
      <w:r w:rsidR="00357359" w:rsidRPr="00AB2BA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hyperlink r:id="rId12" w:history="1">
        <w:r w:rsidR="00357359" w:rsidRPr="00AB2BA4">
          <w:rPr>
            <w:rStyle w:val="Collegamentoipertestuale"/>
            <w:rFonts w:ascii="Times New Roman" w:eastAsia="Times New Roman" w:hAnsi="Times New Roman" w:cs="Times New Roman"/>
            <w:bCs/>
            <w:i/>
            <w:sz w:val="24"/>
            <w:szCs w:val="24"/>
            <w:lang w:eastAsia="it-IT"/>
          </w:rPr>
          <w:t>l’</w:t>
        </w:r>
        <w:r w:rsidR="00357359" w:rsidRPr="00AB2BA4">
          <w:rPr>
            <w:rStyle w:val="Collegamentoipertestuale"/>
            <w:rFonts w:ascii="Times New Roman" w:eastAsia="Times New Roman" w:hAnsi="Times New Roman" w:cs="Times New Roman"/>
            <w:i/>
            <w:sz w:val="24"/>
            <w:szCs w:val="24"/>
            <w:lang w:eastAsia="it-IT"/>
          </w:rPr>
          <w:t>Indagine sul prestito bibliotecario digitale sicuro in Italia, Polonia e Spagna</w:t>
        </w:r>
      </w:hyperlink>
      <w:r w:rsidR="00357359" w:rsidRPr="00AB2BA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, pensata per analizzare </w:t>
      </w:r>
      <w:r w:rsidR="0035735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il prestito di e-book in questi tre Paesi europei </w:t>
      </w:r>
      <w:r w:rsidR="00357359" w:rsidRPr="00AB2BA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su quattro ambiti principali: il contesto legale, i modelli di licenza, le barriere all’accesso e l’urgenza di riforme normative. </w:t>
      </w:r>
      <w:r w:rsidR="0035735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Attualmente per</w:t>
      </w:r>
      <w:r w:rsidR="00357359" w:rsidRPr="00AB2BA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i bibliotecari, </w:t>
      </w:r>
      <w:r w:rsidR="0035735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vi è </w:t>
      </w:r>
      <w:r w:rsidR="00357359" w:rsidRPr="00AB2BA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l’impossibilità di attuare politiche di acquisizione e circolazione stabili, oltre a una crescente dipendenza da piattaforme chiuse e intermediarie. È in questo quadro che KR21 sostiene la necessità di </w:t>
      </w:r>
      <w:r w:rsidR="00357359" w:rsidRPr="00AB2BA4">
        <w:rPr>
          <w:rFonts w:ascii="Times New Roman" w:eastAsia="Times New Roman" w:hAnsi="Times New Roman" w:cs="Times New Roman"/>
          <w:sz w:val="24"/>
          <w:szCs w:val="24"/>
          <w:lang w:eastAsia="it-IT"/>
        </w:rPr>
        <w:t>una riforma legislativa che riconosca il diritto al prestito digitale per le biblioteche</w:t>
      </w:r>
      <w:r w:rsidR="00357359" w:rsidRPr="00AB2BA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, analogamente a quanto avviene per le opere su supporto fisico.</w:t>
      </w:r>
    </w:p>
    <w:p w:rsidR="00AB2BA4" w:rsidRDefault="004316EC" w:rsidP="00357359">
      <w:pPr>
        <w:pStyle w:val="NormaleWeb"/>
        <w:spacing w:before="0" w:beforeAutospacing="0" w:after="0" w:afterAutospacing="0"/>
        <w:jc w:val="both"/>
      </w:pPr>
      <w:proofErr w:type="spellStart"/>
      <w:r>
        <w:t>Wyber</w:t>
      </w:r>
      <w:proofErr w:type="spellEnd"/>
      <w:r>
        <w:t xml:space="preserve"> analizza </w:t>
      </w:r>
      <w:r w:rsidR="00357359">
        <w:t xml:space="preserve">inoltre </w:t>
      </w:r>
      <w:r>
        <w:t xml:space="preserve">le funzioni che le leggi bibliotecarie europee affidano alle biblioteche, </w:t>
      </w:r>
      <w:hyperlink r:id="rId13" w:history="1">
        <w:r w:rsidRPr="004316EC">
          <w:rPr>
            <w:rStyle w:val="Collegamentoipertestuale"/>
          </w:rPr>
          <w:t>evidenziando</w:t>
        </w:r>
      </w:hyperlink>
      <w:r>
        <w:t xml:space="preserve"> tre aspetti chiave. Innanzitutto, molte normative promuovono la costruzione di collezioni “pluriformi”, con un’attenzione crescente alle risorse digitali; paesi come Croazia, Francia, Slovenia e Moldavia richiedono esplicitamente l’inclusione di materiali digitali. In secondo luogo, il prestito, sia di libri fisici che digitali, è considerato una funzione essenziale e deve essere accessibile a tutti, inclusi gruppi svantaggiati, come previsto in Estonia, Inghilterra, Finlandia e Spagna. Anche il prestito </w:t>
      </w:r>
      <w:proofErr w:type="spellStart"/>
      <w:r>
        <w:t>interbibliotecario</w:t>
      </w:r>
      <w:proofErr w:type="spellEnd"/>
      <w:r>
        <w:t xml:space="preserve"> è incoraggiato in paesi come Polonia, Slovenia e Repubblica Ceca per ampliare l’accesso. Infine, la costruzione e la conservazione permanente delle collezioni, specie quelle legate al patrimonio locale, sono affidate anche alle biblioteche pubbliche, riconosciute come custodi della memoria culturale. </w:t>
      </w:r>
      <w:proofErr w:type="spellStart"/>
      <w:r>
        <w:t>Wyber</w:t>
      </w:r>
      <w:proofErr w:type="spellEnd"/>
      <w:r>
        <w:t xml:space="preserve"> sottolinea però che le attuali limitazioni al prestito e all’accesso agli e-book contrastano con questi obiettivi. Il modello di </w:t>
      </w:r>
      <w:proofErr w:type="spellStart"/>
      <w:r>
        <w:t>licensing</w:t>
      </w:r>
      <w:proofErr w:type="spellEnd"/>
      <w:r>
        <w:t xml:space="preserve">, basato su contratti che consentono ai titolari dei diritti di revocare facilmente le concessioni, genera incertezza e instabilità. </w:t>
      </w:r>
    </w:p>
    <w:p w:rsidR="004316EC" w:rsidRDefault="004316EC" w:rsidP="002110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5735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lastRenderedPageBreak/>
        <w:t xml:space="preserve">Nel quadro internazionale </w:t>
      </w:r>
      <w:hyperlink r:id="rId14" w:history="1">
        <w:r w:rsidRPr="0021108B">
          <w:rPr>
            <w:rStyle w:val="Collegamentoipertestuale"/>
            <w:rFonts w:ascii="Times New Roman" w:eastAsia="Times New Roman" w:hAnsi="Times New Roman" w:cs="Times New Roman"/>
            <w:bCs/>
            <w:sz w:val="24"/>
            <w:szCs w:val="24"/>
            <w:lang w:eastAsia="it-IT"/>
          </w:rPr>
          <w:t>il disegno di legge statunitense</w:t>
        </w:r>
      </w:hyperlink>
      <w:r w:rsidRPr="004316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mira a riformare radicalmente l'accesso delle biblioteche agli </w:t>
      </w:r>
      <w:proofErr w:type="spellStart"/>
      <w:r w:rsidRPr="004316EC">
        <w:rPr>
          <w:rFonts w:ascii="Times New Roman" w:eastAsia="Times New Roman" w:hAnsi="Times New Roman" w:cs="Times New Roman"/>
          <w:sz w:val="24"/>
          <w:szCs w:val="24"/>
          <w:lang w:eastAsia="it-IT"/>
        </w:rPr>
        <w:t>ebook</w:t>
      </w:r>
      <w:proofErr w:type="spellEnd"/>
      <w:r w:rsidRPr="004316EC">
        <w:rPr>
          <w:rFonts w:ascii="Times New Roman" w:eastAsia="Times New Roman" w:hAnsi="Times New Roman" w:cs="Times New Roman"/>
          <w:sz w:val="24"/>
          <w:szCs w:val="24"/>
          <w:lang w:eastAsia="it-IT"/>
        </w:rPr>
        <w:t>, andando oltre la semplice questione dei costi</w:t>
      </w:r>
      <w:r w:rsidR="0021108B">
        <w:rPr>
          <w:rFonts w:ascii="Times New Roman" w:eastAsia="Times New Roman" w:hAnsi="Times New Roman" w:cs="Times New Roman"/>
          <w:sz w:val="24"/>
          <w:szCs w:val="24"/>
          <w:lang w:eastAsia="it-IT"/>
        </w:rPr>
        <w:t>, in quanto l</w:t>
      </w:r>
      <w:r w:rsidRPr="004316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proposta proibisce le </w:t>
      </w:r>
      <w:r w:rsidRPr="0021108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clausole di riservatezza</w:t>
      </w:r>
      <w:r w:rsidRPr="004316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che impediscono alle biblioteche di confrontarsi sui termini contrattuali e impone che le licenze consentano il </w:t>
      </w:r>
      <w:r w:rsidRPr="0021108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prestito </w:t>
      </w:r>
      <w:proofErr w:type="spellStart"/>
      <w:r w:rsidRPr="0021108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interbibliotecario</w:t>
      </w:r>
      <w:proofErr w:type="spellEnd"/>
      <w:r w:rsidRPr="004316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Inoltre, le licenze non potranno più essere a </w:t>
      </w:r>
      <w:r w:rsidRPr="0021108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tempo determinato</w:t>
      </w:r>
      <w:r w:rsidRPr="004316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a meno che non prevedano modelli di pagamento a consumo o garantiscano un uso pubblico perpetuo dell'opera. L’iniziativa legislativa ha ricevuto ampio supporto da bibliotecari, utenti e organizzazioni locali, i quali da tempo lamentano che l'attuale sistema ostacola l'accesso pubblico alla lettura digitale. </w:t>
      </w:r>
      <w:hyperlink r:id="rId15" w:history="1">
        <w:r w:rsidRPr="0021108B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it-IT"/>
          </w:rPr>
          <w:t xml:space="preserve">Ellen Paul </w:t>
        </w:r>
        <w:r w:rsidR="0021108B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it-IT"/>
          </w:rPr>
          <w:t>direttore del</w:t>
        </w:r>
        <w:r w:rsidRPr="0021108B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it-IT"/>
          </w:rPr>
          <w:t xml:space="preserve"> Connecticut Library </w:t>
        </w:r>
        <w:proofErr w:type="spellStart"/>
        <w:r w:rsidRPr="0021108B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it-IT"/>
          </w:rPr>
          <w:t>Consortium</w:t>
        </w:r>
        <w:proofErr w:type="spellEnd"/>
      </w:hyperlink>
      <w:r w:rsidRPr="004316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ha evidenziato come le </w:t>
      </w:r>
      <w:r w:rsidRPr="0021108B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biblioteche pubbliche siano costrette a pagare da quattro a cinque volte il prezzo di copertina</w:t>
      </w:r>
      <w:r w:rsidR="0035735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 un </w:t>
      </w:r>
      <w:proofErr w:type="spellStart"/>
      <w:r w:rsidR="00357359"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r w:rsidRPr="004316EC">
        <w:rPr>
          <w:rFonts w:ascii="Times New Roman" w:eastAsia="Times New Roman" w:hAnsi="Times New Roman" w:cs="Times New Roman"/>
          <w:sz w:val="24"/>
          <w:szCs w:val="24"/>
          <w:lang w:eastAsia="it-IT"/>
        </w:rPr>
        <w:t>book</w:t>
      </w:r>
      <w:proofErr w:type="spellEnd"/>
      <w:r w:rsidRPr="004316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e nonostante ciò, le liste d'attesa </w:t>
      </w:r>
      <w:r w:rsidR="002110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 un prestito </w:t>
      </w:r>
      <w:r w:rsidRPr="004316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possono durare mesi, spesso rendendo impossibile l'accesso ai lettori prima della scadenza della licenza. Anche il </w:t>
      </w:r>
      <w:hyperlink r:id="rId16" w:history="1">
        <w:r w:rsidRPr="0021108B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it-IT"/>
          </w:rPr>
          <w:t xml:space="preserve">deputato </w:t>
        </w:r>
        <w:r w:rsidR="0021108B" w:rsidRPr="0021108B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it-IT"/>
          </w:rPr>
          <w:t xml:space="preserve">democratico </w:t>
        </w:r>
        <w:r w:rsidRPr="0021108B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it-IT"/>
          </w:rPr>
          <w:t xml:space="preserve">Matt </w:t>
        </w:r>
        <w:proofErr w:type="spellStart"/>
        <w:r w:rsidRPr="0021108B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it-IT"/>
          </w:rPr>
          <w:t>Blumenthal</w:t>
        </w:r>
        <w:proofErr w:type="spellEnd"/>
      </w:hyperlink>
      <w:r w:rsidRPr="004316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ha appoggiato la proposta, definendo l'attuale sistema un peso finanziario per i contribuenti e un ostacolo alla missione delle biblioteche di garantire un accesso equo alla conoscenza. Tuttavia, </w:t>
      </w:r>
      <w:hyperlink r:id="rId17" w:history="1">
        <w:r w:rsidRPr="0021108B">
          <w:rPr>
            <w:rStyle w:val="Collegamentoipertestuale"/>
            <w:rFonts w:ascii="Times New Roman" w:eastAsia="Times New Roman" w:hAnsi="Times New Roman" w:cs="Times New Roman"/>
            <w:i/>
            <w:sz w:val="24"/>
            <w:szCs w:val="24"/>
            <w:lang w:eastAsia="it-IT"/>
          </w:rPr>
          <w:t>l'</w:t>
        </w:r>
        <w:proofErr w:type="spellStart"/>
        <w:r w:rsidRPr="0021108B">
          <w:rPr>
            <w:rStyle w:val="Collegamentoipertestuale"/>
            <w:rFonts w:ascii="Times New Roman" w:eastAsia="Times New Roman" w:hAnsi="Times New Roman" w:cs="Times New Roman"/>
            <w:bCs/>
            <w:i/>
            <w:sz w:val="24"/>
            <w:szCs w:val="24"/>
            <w:lang w:eastAsia="it-IT"/>
          </w:rPr>
          <w:t>Authors</w:t>
        </w:r>
        <w:proofErr w:type="spellEnd"/>
        <w:r w:rsidRPr="0021108B">
          <w:rPr>
            <w:rStyle w:val="Collegamentoipertestuale"/>
            <w:rFonts w:ascii="Times New Roman" w:eastAsia="Times New Roman" w:hAnsi="Times New Roman" w:cs="Times New Roman"/>
            <w:bCs/>
            <w:i/>
            <w:sz w:val="24"/>
            <w:szCs w:val="24"/>
            <w:lang w:eastAsia="it-IT"/>
          </w:rPr>
          <w:t xml:space="preserve"> </w:t>
        </w:r>
        <w:proofErr w:type="spellStart"/>
        <w:r w:rsidRPr="0021108B">
          <w:rPr>
            <w:rStyle w:val="Collegamentoipertestuale"/>
            <w:rFonts w:ascii="Times New Roman" w:eastAsia="Times New Roman" w:hAnsi="Times New Roman" w:cs="Times New Roman"/>
            <w:bCs/>
            <w:i/>
            <w:sz w:val="24"/>
            <w:szCs w:val="24"/>
            <w:lang w:eastAsia="it-IT"/>
          </w:rPr>
          <w:t>Guild</w:t>
        </w:r>
        <w:proofErr w:type="spellEnd"/>
        <w:r w:rsidRPr="0021108B">
          <w:rPr>
            <w:rStyle w:val="Collegamentoipertestuale"/>
            <w:rFonts w:ascii="Times New Roman" w:eastAsia="Times New Roman" w:hAnsi="Times New Roman" w:cs="Times New Roman"/>
            <w:i/>
            <w:sz w:val="24"/>
            <w:szCs w:val="24"/>
            <w:lang w:eastAsia="it-IT"/>
          </w:rPr>
          <w:t>,</w:t>
        </w:r>
      </w:hyperlink>
      <w:r w:rsidRPr="004316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che rappresenta gli scrittori statunitensi, ha espresso p</w:t>
      </w:r>
      <w:r w:rsidR="00357359">
        <w:rPr>
          <w:rFonts w:ascii="Times New Roman" w:eastAsia="Times New Roman" w:hAnsi="Times New Roman" w:cs="Times New Roman"/>
          <w:sz w:val="24"/>
          <w:szCs w:val="24"/>
          <w:lang w:eastAsia="it-IT"/>
        </w:rPr>
        <w:t>reoccupazione e il</w:t>
      </w:r>
      <w:r w:rsidRPr="004316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direttore </w:t>
      </w:r>
      <w:proofErr w:type="spellStart"/>
      <w:r w:rsidRPr="004316EC">
        <w:rPr>
          <w:rFonts w:ascii="Times New Roman" w:eastAsia="Times New Roman" w:hAnsi="Times New Roman" w:cs="Times New Roman"/>
          <w:sz w:val="24"/>
          <w:szCs w:val="24"/>
          <w:lang w:eastAsia="it-IT"/>
        </w:rPr>
        <w:t>Umair</w:t>
      </w:r>
      <w:proofErr w:type="spellEnd"/>
      <w:r w:rsidRPr="004316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316EC">
        <w:rPr>
          <w:rFonts w:ascii="Times New Roman" w:eastAsia="Times New Roman" w:hAnsi="Times New Roman" w:cs="Times New Roman"/>
          <w:sz w:val="24"/>
          <w:szCs w:val="24"/>
          <w:lang w:eastAsia="it-IT"/>
        </w:rPr>
        <w:t>Kazi</w:t>
      </w:r>
      <w:proofErr w:type="spellEnd"/>
      <w:r w:rsidRPr="004316E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ha avvertito che la legge potrebbe paradossalmente danneggiare le stesse biblioteche, qualora gli editori non fossero disposti a modificare i loro modelli di business, portando a una riduzione dell'accesso a nuovi titoli o al mancato rinnovo delle licenze esistenti. </w:t>
      </w:r>
    </w:p>
    <w:p w:rsidR="00357359" w:rsidRDefault="004316EC" w:rsidP="00357359">
      <w:pPr>
        <w:pStyle w:val="NormaleWeb"/>
        <w:spacing w:before="0" w:beforeAutospacing="0" w:after="0" w:afterAutospacing="0"/>
        <w:jc w:val="both"/>
      </w:pPr>
      <w:r w:rsidRPr="004316EC">
        <w:t>Sul piano politico e istituzionale</w:t>
      </w:r>
      <w:r w:rsidR="00357359">
        <w:t xml:space="preserve"> italiano</w:t>
      </w:r>
      <w:r w:rsidRPr="004316EC">
        <w:t xml:space="preserve">, manca finora un confronto sistematico tra editori, biblioteche e decisori pubblici per ridefinire un equilibrio sostenibile. La </w:t>
      </w:r>
      <w:hyperlink r:id="rId18" w:history="1">
        <w:r w:rsidRPr="004316EC">
          <w:rPr>
            <w:rStyle w:val="Collegamentoipertestuale"/>
          </w:rPr>
          <w:t>Direzion</w:t>
        </w:r>
        <w:r w:rsidRPr="004316EC">
          <w:rPr>
            <w:rStyle w:val="Collegamentoipertestuale"/>
          </w:rPr>
          <w:t>e Generale Biblioteche del Ministero della Cultura</w:t>
        </w:r>
      </w:hyperlink>
      <w:r w:rsidRPr="004316EC">
        <w:t xml:space="preserve"> ha avviato negli anni scorsi alcuni tavoli tecnici, ma non si è ancora giunti a una riforma strutturale della materia. Inoltre, la questione del prestito digitale non ha ricevuto particolare attenzione nei più recenti programmi di fina</w:t>
      </w:r>
      <w:r w:rsidR="00357359">
        <w:t>nziamento alla cultura digitale</w:t>
      </w:r>
      <w:r w:rsidRPr="004316EC">
        <w:t>. Un ulteriore ostacolo è rappresentato dal fatto che</w:t>
      </w:r>
      <w:r w:rsidR="00357359">
        <w:t xml:space="preserve"> in Italia la percezione dell’</w:t>
      </w:r>
      <w:proofErr w:type="spellStart"/>
      <w:r w:rsidR="00357359">
        <w:t>e</w:t>
      </w:r>
      <w:r w:rsidRPr="004316EC">
        <w:t>book</w:t>
      </w:r>
      <w:proofErr w:type="spellEnd"/>
      <w:r w:rsidRPr="004316EC">
        <w:t xml:space="preserve"> come bene pubblico da garantire attraverso le biblioteche è ancora marginale, anche nel discorso pubblico. Le resistenze culturali verso il digitale, sia tra i lettori sia tra gli operatori, e la fragilità del mercato editoriale italiano contribuiscono a mantenere la questione in una zona grigia, dove la biblioteca digitale resta un servizio accessorio, spesso trascurato nei bilanci e nelle strategie.</w:t>
      </w:r>
      <w:r w:rsidR="00357359">
        <w:t xml:space="preserve"> Il fatto che gli </w:t>
      </w:r>
      <w:proofErr w:type="spellStart"/>
      <w:r w:rsidR="00357359">
        <w:t>e</w:t>
      </w:r>
      <w:r w:rsidR="00357359">
        <w:t>book</w:t>
      </w:r>
      <w:proofErr w:type="spellEnd"/>
      <w:r w:rsidR="00357359">
        <w:t xml:space="preserve"> non sono acquistati, ma “affittati” tramite piattaforme esterne, impe</w:t>
      </w:r>
      <w:r w:rsidR="00357359">
        <w:t>dendo proprietà e conservazione e che l</w:t>
      </w:r>
      <w:r w:rsidR="00357359">
        <w:t xml:space="preserve">e restrizioni tecnologiche e contrattuali </w:t>
      </w:r>
      <w:proofErr w:type="spellStart"/>
      <w:r w:rsidR="00357359">
        <w:t>limitano</w:t>
      </w:r>
      <w:proofErr w:type="spellEnd"/>
      <w:r w:rsidR="00357359">
        <w:t xml:space="preserve"> fortemente il prestito digitale, sia agli utenti singoli sia tra biblioteche, ostacolando la formazione di c</w:t>
      </w:r>
      <w:r w:rsidR="00357359">
        <w:t>ollezioni stabili e accessibili,</w:t>
      </w:r>
      <w:r w:rsidR="00357359">
        <w:t xml:space="preserve"> frustra le finalità </w:t>
      </w:r>
      <w:r w:rsidR="00357359">
        <w:t xml:space="preserve">culturali delle biblioteche e </w:t>
      </w:r>
      <w:r w:rsidR="00357359">
        <w:t xml:space="preserve">danneggia anche </w:t>
      </w:r>
      <w:r w:rsidR="00357359">
        <w:t xml:space="preserve">le </w:t>
      </w:r>
      <w:r w:rsidR="00357359">
        <w:t xml:space="preserve">politiche pubbliche cruciali su educazione, inclusione sociale, alfabetizzazione e sviluppo democratico. Senza libero accesso e </w:t>
      </w:r>
      <w:r w:rsidR="00357359">
        <w:t xml:space="preserve">possibilità di prestito degli </w:t>
      </w:r>
      <w:proofErr w:type="spellStart"/>
      <w:r w:rsidR="00357359">
        <w:t>e</w:t>
      </w:r>
      <w:r w:rsidR="00357359">
        <w:t>book</w:t>
      </w:r>
      <w:proofErr w:type="spellEnd"/>
      <w:r w:rsidR="00357359">
        <w:t>, le biblioteche rischiano di non poter più svolgere pienamente il loro ruolo nella società moderna.</w:t>
      </w:r>
    </w:p>
    <w:p w:rsidR="004316EC" w:rsidRPr="004316EC" w:rsidRDefault="004316EC" w:rsidP="003573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F10">
        <w:rPr>
          <w:rFonts w:ascii="Times New Roman" w:eastAsia="Times New Roman" w:hAnsi="Times New Roman" w:cs="Times New Roman"/>
          <w:sz w:val="24"/>
          <w:szCs w:val="24"/>
          <w:lang w:eastAsia="it-IT"/>
        </w:rPr>
        <w:t>In conclusione, la mancata armonizzazione tra diritto d’autore e norme bib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liotecarie rappresenta</w:t>
      </w:r>
      <w:r w:rsidRPr="00091F1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un ostacolo importante al pieno esercizio dei diritti cultura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li e di informazione in Europa, </w:t>
      </w:r>
      <w:r w:rsidRPr="00091F10">
        <w:rPr>
          <w:rFonts w:ascii="Times New Roman" w:eastAsia="Times New Roman" w:hAnsi="Times New Roman" w:cs="Times New Roman"/>
          <w:sz w:val="24"/>
          <w:szCs w:val="24"/>
          <w:lang w:eastAsia="it-IT"/>
        </w:rPr>
        <w:t>sarebbe necessa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rio un intervento normativo </w:t>
      </w:r>
      <w:r w:rsidRPr="00091F10">
        <w:rPr>
          <w:rFonts w:ascii="Times New Roman" w:eastAsia="Times New Roman" w:hAnsi="Times New Roman" w:cs="Times New Roman"/>
          <w:sz w:val="24"/>
          <w:szCs w:val="24"/>
          <w:lang w:eastAsia="it-IT"/>
        </w:rPr>
        <w:t>incisivo, che riconosca e tuteli esplicitamente il diritto delle biblioteche ad acquisire, prestare e preservare le opere digitali alle stesse condizioni degli analoghi materiali fisici, garantendo così il rispetto dei principi fondamentali di libertà di accesso alla cultura e all’informazione sanciti dalla legislazione europea.</w:t>
      </w:r>
      <w:r w:rsidRPr="004316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16EC" w:rsidRPr="004316EC" w:rsidRDefault="004316EC" w:rsidP="004316E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97E7A" w:rsidRDefault="00A97E7A"/>
    <w:sectPr w:rsidR="00A97E7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6EC"/>
    <w:rsid w:val="0011767F"/>
    <w:rsid w:val="0021108B"/>
    <w:rsid w:val="002B2B23"/>
    <w:rsid w:val="00357359"/>
    <w:rsid w:val="00367C6A"/>
    <w:rsid w:val="00374F02"/>
    <w:rsid w:val="004316EC"/>
    <w:rsid w:val="00535F10"/>
    <w:rsid w:val="00A97E7A"/>
    <w:rsid w:val="00AB2BA4"/>
    <w:rsid w:val="00D116BD"/>
    <w:rsid w:val="00FC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FC806C-5C7E-4638-B50B-1843EE683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316E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4316EC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4316EC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431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573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21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ga.ct.gov/asp/cgabillstatus/cgabillstatus.asp?selBillType=Bill&amp;which_year=2025&amp;bill_num=1234" TargetMode="External"/><Relationship Id="rId13" Type="http://schemas.openxmlformats.org/officeDocument/2006/relationships/hyperlink" Target="https://copyrightblog.kluweriplaw.com/2025/05/13/copyright-against-culture-do-restrictions-on-e-book-availability-and-use-undermine-library-laws-part-2/" TargetMode="External"/><Relationship Id="rId18" Type="http://schemas.openxmlformats.org/officeDocument/2006/relationships/hyperlink" Target="https://biblioteche.cultura.gov.it/i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law.cornell.edu/uscode/text/17/109" TargetMode="External"/><Relationship Id="rId12" Type="http://schemas.openxmlformats.org/officeDocument/2006/relationships/hyperlink" Target="https://www.ddastudiolegale.it/indagine-sul-prestito-bibliotecario-digitale-sicuro-in-italia-polonia-e-spagna/" TargetMode="External"/><Relationship Id="rId17" Type="http://schemas.openxmlformats.org/officeDocument/2006/relationships/hyperlink" Target="https://authorsguild.org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housedems.ct.gov/blumenthal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2.crui.it/crui/cnudd/sentenze_ordinanze/S1_Libri%20digitali_Sentenza%20CG_UE%20C174_15.pdf" TargetMode="External"/><Relationship Id="rId11" Type="http://schemas.openxmlformats.org/officeDocument/2006/relationships/hyperlink" Target="https://copyrightblog.kluweriplaw.com/2025/05/12/copyright-against-culture-do-restrictions-on-e-book-availability-and-use-undermine-library-laws-part-1/" TargetMode="External"/><Relationship Id="rId5" Type="http://schemas.openxmlformats.org/officeDocument/2006/relationships/hyperlink" Target="https://www.ifla.org/stichting-ifla-foundation/" TargetMode="External"/><Relationship Id="rId15" Type="http://schemas.openxmlformats.org/officeDocument/2006/relationships/hyperlink" Target="https://www.ctlibrarians.org/news/590107/CLC-Welcomes-New-Executive-Director.htm" TargetMode="External"/><Relationship Id="rId10" Type="http://schemas.openxmlformats.org/officeDocument/2006/relationships/hyperlink" Target="https://www.medialaws.eu/il-mercato-secondario-degli-ebook-tra-distribuzione-comunicazione-al-pubblico-e-principio-dellesaurimento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knowledgerights21.org/" TargetMode="External"/><Relationship Id="rId9" Type="http://schemas.openxmlformats.org/officeDocument/2006/relationships/hyperlink" Target="https://www.dirittodautore.it/la-guida-al-diritto-dautore/i-diritti-di-utilizzazione-economica/il-diritto-di-distribuzione/" TargetMode="External"/><Relationship Id="rId14" Type="http://schemas.openxmlformats.org/officeDocument/2006/relationships/hyperlink" Target="https://www.libraryfutures.net/post/connecticut-ebook-bil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2248</Words>
  <Characters>12818</Characters>
  <Application>Microsoft Office Word</Application>
  <DocSecurity>0</DocSecurity>
  <Lines>106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de robbio</dc:creator>
  <cp:keywords/>
  <dc:description/>
  <cp:lastModifiedBy>antonella de robbio</cp:lastModifiedBy>
  <cp:revision>5</cp:revision>
  <dcterms:created xsi:type="dcterms:W3CDTF">2025-06-14T08:40:00Z</dcterms:created>
  <dcterms:modified xsi:type="dcterms:W3CDTF">2025-06-14T08:41:00Z</dcterms:modified>
</cp:coreProperties>
</file>